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B4" w:rsidRDefault="008015B4" w:rsidP="008015B4">
      <w:pPr>
        <w:pStyle w:val="Heading1"/>
        <w:jc w:val="center"/>
      </w:pPr>
      <w:smartTag w:uri="urn:schemas-microsoft-com:office:smarttags" w:element="place">
        <w:smartTag w:uri="urn:schemas-microsoft-com:office:smarttags" w:element="State">
          <w:r>
            <w:t>Arkansas</w:t>
          </w:r>
        </w:smartTag>
      </w:smartTag>
      <w:r>
        <w:t>, State and Local Government</w:t>
      </w:r>
    </w:p>
    <w:p w:rsidR="008015B4" w:rsidRDefault="008015B4" w:rsidP="008015B4">
      <w:pPr>
        <w:pStyle w:val="Heading1"/>
        <w:jc w:val="center"/>
        <w:rPr>
          <w:u w:val="none"/>
        </w:rPr>
      </w:pPr>
      <w:r>
        <w:rPr>
          <w:u w:val="none"/>
        </w:rPr>
        <w:t>POLS 353</w:t>
      </w:r>
    </w:p>
    <w:p w:rsidR="00BD04FE" w:rsidRPr="0032080E" w:rsidRDefault="00CF7CA9" w:rsidP="0032080E">
      <w:pPr>
        <w:pStyle w:val="Heading1"/>
        <w:jc w:val="center"/>
        <w:rPr>
          <w:u w:val="none"/>
        </w:rPr>
      </w:pPr>
      <w:r>
        <w:rPr>
          <w:u w:val="none"/>
        </w:rPr>
        <w:t>Spring 2016</w:t>
      </w:r>
    </w:p>
    <w:p w:rsidR="00BD04FE" w:rsidRPr="00BD04FE" w:rsidRDefault="00BD04FE" w:rsidP="00BD04FE"/>
    <w:p w:rsidR="00BD04FE" w:rsidRPr="00BD04FE" w:rsidRDefault="00BD04FE" w:rsidP="00BD04FE">
      <w:r>
        <w:t>Three types of Law:</w:t>
      </w:r>
    </w:p>
    <w:p w:rsidR="00BD04FE" w:rsidRPr="00BD04FE" w:rsidRDefault="00BD04FE" w:rsidP="00BD04FE">
      <w:pPr>
        <w:pStyle w:val="Heading1"/>
        <w:numPr>
          <w:ilvl w:val="0"/>
          <w:numId w:val="8"/>
        </w:numPr>
        <w:tabs>
          <w:tab w:val="left" w:pos="720"/>
        </w:tabs>
        <w:rPr>
          <w:b w:val="0"/>
          <w:u w:val="none"/>
        </w:rPr>
      </w:pPr>
      <w:bookmarkStart w:id="0" w:name="_GoBack"/>
      <w:r w:rsidRPr="00BD04FE">
        <w:rPr>
          <w:b w:val="0"/>
          <w:u w:val="none"/>
        </w:rPr>
        <w:t>Constitutional</w:t>
      </w:r>
    </w:p>
    <w:bookmarkEnd w:id="0"/>
    <w:p w:rsidR="00BD04FE" w:rsidRPr="00BD04FE" w:rsidRDefault="00BD04FE" w:rsidP="00BD04FE">
      <w:pPr>
        <w:pStyle w:val="Heading1"/>
        <w:numPr>
          <w:ilvl w:val="1"/>
          <w:numId w:val="8"/>
        </w:numPr>
        <w:tabs>
          <w:tab w:val="left" w:pos="1440"/>
        </w:tabs>
        <w:rPr>
          <w:b w:val="0"/>
          <w:u w:val="none"/>
        </w:rPr>
      </w:pPr>
      <w:r w:rsidRPr="00BD04FE">
        <w:rPr>
          <w:b w:val="0"/>
          <w:u w:val="none"/>
        </w:rPr>
        <w:t>State and Federal Constitutions</w:t>
      </w:r>
    </w:p>
    <w:p w:rsidR="00BD04FE" w:rsidRPr="00BD04FE" w:rsidRDefault="00BD04FE" w:rsidP="00BD04FE">
      <w:pPr>
        <w:pStyle w:val="Heading1"/>
        <w:numPr>
          <w:ilvl w:val="0"/>
          <w:numId w:val="8"/>
        </w:numPr>
        <w:tabs>
          <w:tab w:val="left" w:pos="720"/>
        </w:tabs>
        <w:rPr>
          <w:b w:val="0"/>
          <w:u w:val="none"/>
        </w:rPr>
      </w:pPr>
      <w:r w:rsidRPr="00BD04FE">
        <w:rPr>
          <w:b w:val="0"/>
          <w:u w:val="none"/>
        </w:rPr>
        <w:t>Statutory</w:t>
      </w:r>
    </w:p>
    <w:p w:rsidR="00BD04FE" w:rsidRPr="00BD04FE" w:rsidRDefault="00BD04FE" w:rsidP="00BD04FE">
      <w:pPr>
        <w:pStyle w:val="Heading1"/>
        <w:numPr>
          <w:ilvl w:val="1"/>
          <w:numId w:val="8"/>
        </w:numPr>
        <w:tabs>
          <w:tab w:val="left" w:pos="1440"/>
        </w:tabs>
        <w:rPr>
          <w:b w:val="0"/>
          <w:u w:val="none"/>
        </w:rPr>
      </w:pPr>
      <w:r w:rsidRPr="00BD04FE">
        <w:rPr>
          <w:b w:val="0"/>
          <w:u w:val="none"/>
        </w:rPr>
        <w:t xml:space="preserve">Congressional Acts and Acts/Laws of the State Legislature </w:t>
      </w:r>
    </w:p>
    <w:p w:rsidR="00BD04FE" w:rsidRPr="00BD04FE" w:rsidRDefault="00BD04FE" w:rsidP="00BD04FE">
      <w:pPr>
        <w:pStyle w:val="Heading1"/>
        <w:numPr>
          <w:ilvl w:val="2"/>
          <w:numId w:val="8"/>
        </w:numPr>
        <w:tabs>
          <w:tab w:val="left" w:pos="2160"/>
        </w:tabs>
        <w:rPr>
          <w:b w:val="0"/>
          <w:u w:val="none"/>
        </w:rPr>
      </w:pPr>
      <w:proofErr w:type="gramStart"/>
      <w:r w:rsidRPr="00BD04FE">
        <w:rPr>
          <w:b w:val="0"/>
          <w:u w:val="none"/>
        </w:rPr>
        <w:t>and</w:t>
      </w:r>
      <w:proofErr w:type="gramEnd"/>
      <w:r w:rsidRPr="00BD04FE">
        <w:rPr>
          <w:b w:val="0"/>
          <w:u w:val="none"/>
        </w:rPr>
        <w:t xml:space="preserve"> agency rules promulgated via delegated authority</w:t>
      </w:r>
    </w:p>
    <w:p w:rsidR="00BD04FE" w:rsidRPr="00BD04FE" w:rsidRDefault="00BD04FE" w:rsidP="00BD04FE">
      <w:pPr>
        <w:pStyle w:val="Heading1"/>
        <w:numPr>
          <w:ilvl w:val="0"/>
          <w:numId w:val="8"/>
        </w:numPr>
        <w:tabs>
          <w:tab w:val="left" w:pos="720"/>
        </w:tabs>
        <w:rPr>
          <w:b w:val="0"/>
          <w:u w:val="none"/>
        </w:rPr>
      </w:pPr>
      <w:r>
        <w:rPr>
          <w:b w:val="0"/>
          <w:u w:val="none"/>
        </w:rPr>
        <w:t xml:space="preserve">Judge made, </w:t>
      </w:r>
      <w:r w:rsidRPr="00BD04FE">
        <w:rPr>
          <w:b w:val="0"/>
          <w:u w:val="none"/>
        </w:rPr>
        <w:t>Common Law</w:t>
      </w:r>
    </w:p>
    <w:p w:rsidR="00BD04FE" w:rsidRPr="00BD04FE" w:rsidRDefault="00BD04FE" w:rsidP="00BD04FE">
      <w:pPr>
        <w:pStyle w:val="Heading1"/>
        <w:numPr>
          <w:ilvl w:val="1"/>
          <w:numId w:val="8"/>
        </w:numPr>
        <w:tabs>
          <w:tab w:val="left" w:pos="1440"/>
        </w:tabs>
        <w:rPr>
          <w:b w:val="0"/>
          <w:u w:val="none"/>
        </w:rPr>
      </w:pPr>
      <w:r w:rsidRPr="00BD04FE">
        <w:rPr>
          <w:b w:val="0"/>
          <w:u w:val="none"/>
        </w:rPr>
        <w:t>Precedents, customs and judge made laws</w:t>
      </w:r>
    </w:p>
    <w:p w:rsidR="00BD04FE" w:rsidRPr="00BD04FE" w:rsidRDefault="00BD04FE" w:rsidP="00BD04FE">
      <w:pPr>
        <w:pStyle w:val="Heading1"/>
        <w:numPr>
          <w:ilvl w:val="2"/>
          <w:numId w:val="8"/>
        </w:numPr>
        <w:tabs>
          <w:tab w:val="left" w:pos="2160"/>
        </w:tabs>
        <w:rPr>
          <w:b w:val="0"/>
          <w:u w:val="none"/>
        </w:rPr>
      </w:pPr>
      <w:r w:rsidRPr="00BD04FE">
        <w:rPr>
          <w:b w:val="0"/>
          <w:u w:val="none"/>
        </w:rPr>
        <w:t>English Common Law</w:t>
      </w:r>
    </w:p>
    <w:p w:rsidR="00BD04FE" w:rsidRPr="00BD04FE" w:rsidRDefault="00BD04FE" w:rsidP="00BD04FE">
      <w:pPr>
        <w:pStyle w:val="Heading1"/>
        <w:numPr>
          <w:ilvl w:val="2"/>
          <w:numId w:val="8"/>
        </w:numPr>
        <w:tabs>
          <w:tab w:val="left" w:pos="2160"/>
        </w:tabs>
        <w:rPr>
          <w:b w:val="0"/>
          <w:u w:val="none"/>
        </w:rPr>
      </w:pPr>
      <w:smartTag w:uri="urn:schemas-microsoft-com:office:smarttags" w:element="State">
        <w:smartTag w:uri="urn:schemas-microsoft-com:office:smarttags" w:element="place">
          <w:r w:rsidRPr="00BD04FE">
            <w:rPr>
              <w:b w:val="0"/>
              <w:u w:val="none"/>
            </w:rPr>
            <w:t>Louisiana</w:t>
          </w:r>
        </w:smartTag>
      </w:smartTag>
      <w:r w:rsidRPr="00BD04FE">
        <w:rPr>
          <w:b w:val="0"/>
          <w:u w:val="none"/>
        </w:rPr>
        <w:t>’s French Common Law</w:t>
      </w:r>
    </w:p>
    <w:p w:rsidR="00BD04FE" w:rsidRPr="00BD04FE" w:rsidRDefault="00BD04FE" w:rsidP="00BD04FE">
      <w:pPr>
        <w:pStyle w:val="Heading1"/>
        <w:numPr>
          <w:ilvl w:val="1"/>
          <w:numId w:val="8"/>
        </w:numPr>
        <w:tabs>
          <w:tab w:val="left" w:pos="1440"/>
        </w:tabs>
        <w:rPr>
          <w:b w:val="0"/>
          <w:u w:val="none"/>
        </w:rPr>
      </w:pPr>
      <w:r w:rsidRPr="00BD04FE">
        <w:rPr>
          <w:b w:val="0"/>
          <w:u w:val="none"/>
        </w:rPr>
        <w:t>Stare decisis – deference to previous judicial decisions</w:t>
      </w:r>
    </w:p>
    <w:p w:rsidR="00EB0F69" w:rsidRDefault="00EB0F69" w:rsidP="008015B4">
      <w:pPr>
        <w:pStyle w:val="Heading1"/>
        <w:rPr>
          <w:u w:val="none"/>
        </w:rPr>
      </w:pPr>
    </w:p>
    <w:p w:rsidR="0003352F" w:rsidRDefault="00A22274" w:rsidP="00A6664C">
      <w:pPr>
        <w:pStyle w:val="Heading1"/>
        <w:jc w:val="center"/>
      </w:pPr>
      <w:r>
        <w:t xml:space="preserve">Supreme Court Decisions </w:t>
      </w:r>
      <w:proofErr w:type="gramStart"/>
      <w:r>
        <w:t>With</w:t>
      </w:r>
      <w:proofErr w:type="gramEnd"/>
      <w:r>
        <w:t xml:space="preserve"> State Level Implications</w:t>
      </w:r>
    </w:p>
    <w:p w:rsidR="0003352F" w:rsidRPr="0003352F" w:rsidRDefault="0003352F" w:rsidP="0003352F"/>
    <w:p w:rsidR="0003352F" w:rsidRPr="00B37F08" w:rsidRDefault="0003352F" w:rsidP="0003352F">
      <w:pPr>
        <w:rPr>
          <w:b/>
        </w:rPr>
      </w:pPr>
      <w:r w:rsidRPr="00B37F08">
        <w:rPr>
          <w:b/>
        </w:rPr>
        <w:t>Role of Federal Government:</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McCulloch v.  Maryland</w:t>
      </w:r>
      <w:r w:rsidR="00F379E5">
        <w:rPr>
          <w:i/>
        </w:rPr>
        <w:t>-1819</w:t>
      </w:r>
      <w:r>
        <w:rPr>
          <w:i/>
        </w:rPr>
        <w:t xml:space="preserve"> - </w:t>
      </w:r>
      <w:r>
        <w:t>supremacy of national law</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 xml:space="preserve">Gibbons v.  </w:t>
      </w:r>
      <w:smartTag w:uri="urn:schemas-microsoft-com:office:smarttags" w:element="City">
        <w:smartTag w:uri="urn:schemas-microsoft-com:office:smarttags" w:element="place">
          <w:r>
            <w:rPr>
              <w:i/>
            </w:rPr>
            <w:t>Ogden</w:t>
          </w:r>
        </w:smartTag>
      </w:smartTag>
      <w:r w:rsidR="00F379E5">
        <w:rPr>
          <w:i/>
        </w:rPr>
        <w:t>-1824</w:t>
      </w:r>
      <w:r>
        <w:rPr>
          <w:i/>
        </w:rPr>
        <w:t xml:space="preserve">- </w:t>
      </w:r>
      <w:r>
        <w:t>power of the federal government to regulate interstate commerce</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529D6"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r w:rsidRPr="00B37F08">
        <w:rPr>
          <w:b/>
          <w:i/>
        </w:rPr>
        <w:t>Education:</w:t>
      </w:r>
    </w:p>
    <w:p w:rsidR="0003352F" w:rsidRPr="00B529D6" w:rsidRDefault="00B37F08"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r>
        <w:rPr>
          <w:i/>
        </w:rPr>
        <w:t>(</w:t>
      </w:r>
      <w:r w:rsidR="0003352F">
        <w:rPr>
          <w:i/>
        </w:rPr>
        <w:t xml:space="preserve">Plessy v.  </w:t>
      </w:r>
      <w:smartTag w:uri="urn:schemas-microsoft-com:office:smarttags" w:element="City">
        <w:smartTag w:uri="urn:schemas-microsoft-com:office:smarttags" w:element="place">
          <w:r w:rsidR="0003352F">
            <w:rPr>
              <w:i/>
            </w:rPr>
            <w:t>Ferguson</w:t>
          </w:r>
        </w:smartTag>
      </w:smartTag>
      <w:r w:rsidR="0003352F">
        <w:rPr>
          <w:i/>
        </w:rPr>
        <w:t>-</w:t>
      </w:r>
      <w:r w:rsidR="00F379E5">
        <w:rPr>
          <w:i/>
        </w:rPr>
        <w:t>1896-</w:t>
      </w:r>
      <w:r w:rsidR="0003352F">
        <w:t xml:space="preserve"> separate but equal</w:t>
      </w:r>
      <w:r w:rsidR="00F379E5">
        <w:t xml:space="preserve"> (railroad cars)</w:t>
      </w:r>
      <w:r>
        <w:t>)</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 Brown v.  Board of Ed</w:t>
      </w:r>
      <w:r w:rsidR="00F379E5">
        <w:rPr>
          <w:i/>
        </w:rPr>
        <w:t>ucation</w:t>
      </w:r>
      <w:r>
        <w:rPr>
          <w:i/>
        </w:rPr>
        <w:t>-</w:t>
      </w:r>
      <w:r w:rsidR="00F379E5">
        <w:rPr>
          <w:i/>
        </w:rPr>
        <w:t>1955</w:t>
      </w:r>
      <w:proofErr w:type="gramStart"/>
      <w:r w:rsidR="00F379E5">
        <w:rPr>
          <w:i/>
        </w:rPr>
        <w:t xml:space="preserve">- </w:t>
      </w:r>
      <w:r>
        <w:t xml:space="preserve"> racial</w:t>
      </w:r>
      <w:proofErr w:type="gramEnd"/>
      <w:r>
        <w:t xml:space="preserve"> segregation in public schools</w:t>
      </w:r>
      <w:r>
        <w:rPr>
          <w:i/>
        </w:rPr>
        <w:t xml:space="preserve"> </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smartTag w:uri="urn:schemas-microsoft-com:office:smarttags" w:element="City">
        <w:smartTag w:uri="urn:schemas-microsoft-com:office:smarttags" w:element="place">
          <w:r>
            <w:t>Little Rock</w:t>
          </w:r>
        </w:smartTag>
      </w:smartTag>
      <w:r>
        <w:t xml:space="preserve"> </w:t>
      </w:r>
      <w:r w:rsidR="00F379E5">
        <w:t>Nine</w:t>
      </w:r>
    </w:p>
    <w:p w:rsidR="0003352F" w:rsidRPr="00B37F08"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3352F" w:rsidRPr="00B37F08"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37F08">
        <w:rPr>
          <w:b/>
        </w:rPr>
        <w:t>Apportionment:</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Baker v.  Carr</w:t>
      </w:r>
      <w:r>
        <w:t xml:space="preserve"> </w:t>
      </w:r>
      <w:r w:rsidR="00F379E5">
        <w:t>-1962 -</w:t>
      </w:r>
      <w:r>
        <w:t>legislative apportionment was a judicable issue</w:t>
      </w:r>
      <w:r w:rsidR="00F379E5">
        <w:t>; into the thicket</w:t>
      </w:r>
    </w:p>
    <w:p w:rsidR="0003352F" w:rsidRDefault="00F379E5"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Reynolds v.  Si</w:t>
      </w:r>
      <w:r w:rsidR="0003352F">
        <w:rPr>
          <w:i/>
        </w:rPr>
        <w:t>ms</w:t>
      </w:r>
      <w:r w:rsidR="0003352F">
        <w:t xml:space="preserve"> -</w:t>
      </w:r>
      <w:r>
        <w:t>1964-</w:t>
      </w:r>
      <w:r w:rsidR="0003352F">
        <w:t xml:space="preserve"> “equal protection means equal”</w:t>
      </w:r>
      <w:r>
        <w:t>; one</w:t>
      </w:r>
      <w:r w:rsidR="0003352F">
        <w:t xml:space="preserve"> man, one vote</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3352F" w:rsidRPr="00B37F08"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r w:rsidRPr="00B37F08">
        <w:rPr>
          <w:b/>
          <w:i/>
        </w:rPr>
        <w:t>Abortion:</w:t>
      </w:r>
    </w:p>
    <w:p w:rsidR="00B37F08" w:rsidRDefault="00B37F08"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(Griswold v. Connecticut –1965 – emanating penumbras create a right to privacy)</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 xml:space="preserve">Roe v.  Wade – </w:t>
      </w:r>
      <w:r w:rsidR="00B37F08">
        <w:rPr>
          <w:i/>
        </w:rPr>
        <w:t xml:space="preserve">1973 - </w:t>
      </w:r>
      <w:r>
        <w:t>State regulation only in 2</w:t>
      </w:r>
      <w:r w:rsidRPr="0003352F">
        <w:rPr>
          <w:vertAlign w:val="superscript"/>
        </w:rPr>
        <w:t>nd</w:t>
      </w:r>
      <w:r>
        <w:t xml:space="preserve"> and third trimester</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7F08">
        <w:rPr>
          <w:i/>
        </w:rPr>
        <w:t xml:space="preserve">Webster v. Reproductive Health Services </w:t>
      </w:r>
      <w:r w:rsidR="00B37F08">
        <w:rPr>
          <w:i/>
        </w:rPr>
        <w:t xml:space="preserve">-1989 </w:t>
      </w:r>
      <w:r w:rsidRPr="00B37F08">
        <w:rPr>
          <w:i/>
        </w:rPr>
        <w:t>–</w:t>
      </w:r>
      <w:r>
        <w:t xml:space="preserve"> slightly more regulation</w:t>
      </w:r>
    </w:p>
    <w:p w:rsidR="00B37F08" w:rsidRDefault="00B37F08"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7F08">
        <w:rPr>
          <w:i/>
        </w:rPr>
        <w:t>Planned Parenthood v. Casey</w:t>
      </w:r>
      <w:r>
        <w:t xml:space="preserve"> – 1992- slightly more regulation</w:t>
      </w:r>
    </w:p>
    <w:p w:rsidR="0003352F"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352F" w:rsidRPr="00B37F08" w:rsidRDefault="0003352F" w:rsidP="000335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37F08">
        <w:rPr>
          <w:b/>
        </w:rPr>
        <w:t>Criminal Rights:</w:t>
      </w:r>
    </w:p>
    <w:p w:rsidR="001553FC" w:rsidRDefault="00B37F08">
      <w:r>
        <w:rPr>
          <w:i/>
        </w:rPr>
        <w:t>Gideon v.  Wainwright-1963 - Fre</w:t>
      </w:r>
      <w:r w:rsidR="0003352F">
        <w:t>e counsel to indigent defendants</w:t>
      </w:r>
    </w:p>
    <w:p w:rsidR="00836A3F" w:rsidRDefault="0003352F" w:rsidP="00836A3F">
      <w:r w:rsidRPr="00B37F08">
        <w:rPr>
          <w:i/>
        </w:rPr>
        <w:t xml:space="preserve">Miranda v </w:t>
      </w:r>
      <w:smartTag w:uri="urn:schemas-microsoft-com:office:smarttags" w:element="State">
        <w:smartTag w:uri="urn:schemas-microsoft-com:office:smarttags" w:element="place">
          <w:r w:rsidRPr="00B37F08">
            <w:rPr>
              <w:i/>
            </w:rPr>
            <w:t>Arizona</w:t>
          </w:r>
        </w:smartTag>
      </w:smartTag>
      <w:r>
        <w:t xml:space="preserve"> – </w:t>
      </w:r>
      <w:r w:rsidR="00B37F08">
        <w:t xml:space="preserve">1966- </w:t>
      </w:r>
      <w:r>
        <w:t>Must be advised of right to not self-incriminate</w:t>
      </w:r>
    </w:p>
    <w:p w:rsidR="00CF7CA9" w:rsidRDefault="00CF7CA9" w:rsidP="00836A3F"/>
    <w:p w:rsidR="00CF7CA9" w:rsidRDefault="00CF7CA9" w:rsidP="00836A3F">
      <w:pPr>
        <w:rPr>
          <w:b/>
        </w:rPr>
      </w:pPr>
      <w:r>
        <w:rPr>
          <w:b/>
        </w:rPr>
        <w:t>Gay Marriage:</w:t>
      </w:r>
    </w:p>
    <w:p w:rsidR="00CF7CA9" w:rsidRPr="00CF7CA9" w:rsidRDefault="00CF7CA9" w:rsidP="00836A3F">
      <w:pPr>
        <w:rPr>
          <w:b/>
        </w:rPr>
      </w:pPr>
    </w:p>
    <w:p w:rsidR="00BD04FE" w:rsidRDefault="00BD04FE" w:rsidP="00173F6D">
      <w:pPr>
        <w:rPr>
          <w:b/>
          <w:u w:val="single"/>
        </w:rPr>
      </w:pPr>
    </w:p>
    <w:p w:rsidR="009D0F69" w:rsidRDefault="009D0F69" w:rsidP="008015B4">
      <w:pPr>
        <w:jc w:val="center"/>
        <w:rPr>
          <w:b/>
          <w:u w:val="single"/>
        </w:rPr>
      </w:pPr>
    </w:p>
    <w:p w:rsidR="009D0F69" w:rsidRDefault="009D0F69" w:rsidP="008015B4">
      <w:pPr>
        <w:jc w:val="center"/>
        <w:rPr>
          <w:b/>
          <w:u w:val="single"/>
        </w:rPr>
      </w:pPr>
    </w:p>
    <w:p w:rsidR="009D0F69" w:rsidRDefault="009D0F69" w:rsidP="008015B4">
      <w:pPr>
        <w:jc w:val="center"/>
        <w:rPr>
          <w:b/>
          <w:u w:val="single"/>
        </w:rPr>
      </w:pPr>
    </w:p>
    <w:p w:rsidR="009D0F69" w:rsidRDefault="009D0F69" w:rsidP="008015B4">
      <w:pPr>
        <w:jc w:val="center"/>
        <w:rPr>
          <w:b/>
          <w:u w:val="single"/>
        </w:rPr>
      </w:pPr>
    </w:p>
    <w:p w:rsidR="009D0F69" w:rsidRDefault="009D0F69" w:rsidP="008015B4">
      <w:pPr>
        <w:jc w:val="center"/>
        <w:rPr>
          <w:b/>
          <w:u w:val="single"/>
        </w:rPr>
      </w:pPr>
    </w:p>
    <w:p w:rsidR="009D0F69" w:rsidRDefault="009D0F69" w:rsidP="008015B4">
      <w:pPr>
        <w:jc w:val="center"/>
        <w:rPr>
          <w:b/>
          <w:u w:val="single"/>
        </w:rPr>
      </w:pPr>
    </w:p>
    <w:p w:rsidR="009D0F69" w:rsidRDefault="009D0F69" w:rsidP="008015B4">
      <w:pPr>
        <w:jc w:val="center"/>
        <w:rPr>
          <w:b/>
          <w:u w:val="single"/>
        </w:rPr>
      </w:pPr>
    </w:p>
    <w:p w:rsidR="009D0F69" w:rsidRDefault="009D0F69" w:rsidP="008015B4">
      <w:pPr>
        <w:jc w:val="center"/>
        <w:rPr>
          <w:b/>
          <w:u w:val="single"/>
        </w:rPr>
      </w:pPr>
    </w:p>
    <w:p w:rsidR="009D0F69" w:rsidRDefault="009D0F69" w:rsidP="008015B4">
      <w:pPr>
        <w:jc w:val="center"/>
        <w:rPr>
          <w:b/>
          <w:u w:val="single"/>
        </w:rPr>
      </w:pPr>
    </w:p>
    <w:p w:rsidR="009D0F69" w:rsidRDefault="009D0F69" w:rsidP="008015B4">
      <w:pPr>
        <w:jc w:val="center"/>
        <w:rPr>
          <w:b/>
          <w:u w:val="single"/>
        </w:rPr>
      </w:pPr>
    </w:p>
    <w:p w:rsidR="009D0F69" w:rsidRDefault="009D0F69" w:rsidP="008015B4">
      <w:pPr>
        <w:jc w:val="center"/>
        <w:rPr>
          <w:b/>
          <w:u w:val="single"/>
        </w:rPr>
      </w:pPr>
    </w:p>
    <w:p w:rsidR="00F379E5" w:rsidRPr="00C917F3" w:rsidRDefault="009D0F69">
      <w:r>
        <w:br w:type="page"/>
      </w:r>
      <w:hyperlink r:id="rId6" w:history="1">
        <w:r w:rsidR="00C917F3" w:rsidRPr="00CB3B6B">
          <w:rPr>
            <w:rStyle w:val="Hyperlink"/>
          </w:rPr>
          <w:t>http://www.oyez.org/cases/case/?case=1792-1850/1819/1819_</w:t>
        </w:r>
      </w:hyperlink>
      <w:r w:rsidR="00C917F3">
        <w:t xml:space="preserve"> </w:t>
      </w:r>
    </w:p>
    <w:p w:rsidR="00F379E5" w:rsidRDefault="00F379E5"/>
    <w:p w:rsidR="00F379E5" w:rsidRDefault="00F379E5" w:rsidP="00F379E5">
      <w:pPr>
        <w:pStyle w:val="Heading1"/>
      </w:pPr>
      <w:r>
        <w:t xml:space="preserve">McCulloch v. </w:t>
      </w:r>
      <w:smartTag w:uri="urn:schemas-microsoft-com:office:smarttags" w:element="State">
        <w:smartTag w:uri="urn:schemas-microsoft-com:office:smarttags" w:element="place">
          <w:r>
            <w:t>Maryland</w:t>
          </w:r>
        </w:smartTag>
      </w:smartTag>
    </w:p>
    <w:p w:rsidR="00F379E5" w:rsidRDefault="00F379E5" w:rsidP="00F379E5">
      <w:pPr>
        <w:pStyle w:val="Heading2"/>
      </w:pPr>
      <w:r>
        <w:t xml:space="preserve">17 </w:t>
      </w:r>
      <w:smartTag w:uri="urn:schemas-microsoft-com:office:smarttags" w:element="country-region">
        <w:smartTag w:uri="urn:schemas-microsoft-com:office:smarttags" w:element="place">
          <w:r>
            <w:t>U.S.</w:t>
          </w:r>
        </w:smartTag>
      </w:smartTag>
      <w:r>
        <w:t xml:space="preserve"> 316 (1819) </w:t>
      </w:r>
    </w:p>
    <w:p w:rsidR="00F379E5" w:rsidRDefault="00F379E5" w:rsidP="00F379E5">
      <w:pPr>
        <w:pStyle w:val="Heading3"/>
      </w:pPr>
      <w:r>
        <w:t xml:space="preserve">Docket Number: </w:t>
      </w:r>
    </w:p>
    <w:p w:rsidR="00F379E5" w:rsidRDefault="00F379E5" w:rsidP="00F379E5">
      <w:pPr>
        <w:pStyle w:val="Heading3"/>
      </w:pPr>
      <w:r>
        <w:t>Abstract</w:t>
      </w:r>
    </w:p>
    <w:p w:rsidR="00F379E5" w:rsidRDefault="00F379E5" w:rsidP="00F379E5">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F379E5">
        <w:trPr>
          <w:tblCellSpacing w:w="0" w:type="dxa"/>
        </w:trPr>
        <w:tc>
          <w:tcPr>
            <w:tcW w:w="0" w:type="auto"/>
            <w:gridSpan w:val="10"/>
            <w:vAlign w:val="center"/>
          </w:tcPr>
          <w:p w:rsidR="00F379E5" w:rsidRDefault="0032080E">
            <w:pPr>
              <w:rPr>
                <w:szCs w:val="24"/>
              </w:rPr>
            </w:pPr>
            <w:r>
              <w:rPr>
                <w:noProof/>
              </w:rPr>
              <w:drawing>
                <wp:inline distT="0" distB="0" distL="0" distR="0">
                  <wp:extent cx="9525" cy="3810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F379E5">
        <w:trPr>
          <w:tblCellSpacing w:w="0" w:type="dxa"/>
        </w:trPr>
        <w:tc>
          <w:tcPr>
            <w:tcW w:w="1000" w:type="pct"/>
          </w:tcPr>
          <w:p w:rsidR="00F379E5" w:rsidRDefault="00F379E5">
            <w:pPr>
              <w:pStyle w:val="List1"/>
            </w:pPr>
            <w:r>
              <w:t>Argued:</w:t>
            </w:r>
          </w:p>
        </w:tc>
        <w:tc>
          <w:tcPr>
            <w:tcW w:w="4000" w:type="pct"/>
          </w:tcPr>
          <w:p w:rsidR="00F379E5" w:rsidRDefault="00F379E5">
            <w:pPr>
              <w:pStyle w:val="List1"/>
            </w:pPr>
            <w:r>
              <w:t>February 22, 1819</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1000" w:type="pct"/>
          </w:tcPr>
          <w:p w:rsidR="00F379E5" w:rsidRDefault="00F379E5">
            <w:pPr>
              <w:pStyle w:val="List1"/>
            </w:pPr>
            <w:r>
              <w:t>Decided:</w:t>
            </w:r>
          </w:p>
        </w:tc>
        <w:tc>
          <w:tcPr>
            <w:tcW w:w="4000" w:type="pct"/>
          </w:tcPr>
          <w:p w:rsidR="00F379E5" w:rsidRDefault="00F379E5">
            <w:pPr>
              <w:pStyle w:val="List1"/>
            </w:pPr>
            <w:r>
              <w:t>March 6, 1819</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2" name="Picture 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0" w:type="auto"/>
            <w:gridSpan w:val="2"/>
          </w:tcPr>
          <w:p w:rsidR="00F379E5" w:rsidRDefault="00F379E5">
            <w:pPr>
              <w:pStyle w:val="Heading4"/>
            </w:pPr>
            <w:r>
              <w:t xml:space="preserve">Facts of the Case </w:t>
            </w:r>
          </w:p>
          <w:p w:rsidR="00F379E5" w:rsidRDefault="00F379E5">
            <w:pPr>
              <w:pStyle w:val="NormalWeb"/>
            </w:pPr>
            <w:r>
              <w:t xml:space="preserve">In 1816, Congress chartered The Second Bank of the </w:t>
            </w:r>
            <w:smartTag w:uri="urn:schemas-microsoft-com:office:smarttags" w:element="country-region">
              <w:smartTag w:uri="urn:schemas-microsoft-com:office:smarttags" w:element="place">
                <w:r>
                  <w:t>United States</w:t>
                </w:r>
              </w:smartTag>
            </w:smartTag>
            <w:r>
              <w:t xml:space="preserve">. In 1818, the state of </w:t>
            </w:r>
            <w:smartTag w:uri="urn:schemas-microsoft-com:office:smarttags" w:element="State">
              <w:smartTag w:uri="urn:schemas-microsoft-com:office:smarttags" w:element="place">
                <w:r>
                  <w:t>Maryland</w:t>
                </w:r>
              </w:smartTag>
            </w:smartTag>
            <w:r>
              <w:t xml:space="preserve"> passed legislation to impose taxes on the bank. James W. McCulloch, the cashier of the </w:t>
            </w:r>
            <w:smartTag w:uri="urn:schemas-microsoft-com:office:smarttags" w:element="City">
              <w:smartTag w:uri="urn:schemas-microsoft-com:office:smarttags" w:element="place">
                <w:r>
                  <w:t>Baltimore</w:t>
                </w:r>
              </w:smartTag>
            </w:smartTag>
            <w:r>
              <w:t xml:space="preserve"> branch of the bank, refused to pay the tax.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3" name="Picture 3"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rHeight w:val="405"/>
          <w:tblCellSpacing w:w="0" w:type="dxa"/>
        </w:trPr>
        <w:tc>
          <w:tcPr>
            <w:tcW w:w="0" w:type="auto"/>
            <w:gridSpan w:val="2"/>
          </w:tcPr>
          <w:p w:rsidR="00F379E5" w:rsidRDefault="00F379E5">
            <w:pPr>
              <w:pStyle w:val="Heading4"/>
            </w:pPr>
            <w:r>
              <w:t xml:space="preserve">Question Presented </w:t>
            </w:r>
          </w:p>
          <w:p w:rsidR="00F379E5" w:rsidRDefault="00F379E5">
            <w:pPr>
              <w:pStyle w:val="NormalWeb"/>
            </w:pPr>
            <w:r>
              <w:t xml:space="preserve">The case presented two questions: Did Congress have the authority to establish the bank? Did the </w:t>
            </w:r>
            <w:smartTag w:uri="urn:schemas-microsoft-com:office:smarttags" w:element="State">
              <w:smartTag w:uri="urn:schemas-microsoft-com:office:smarttags" w:element="place">
                <w:r>
                  <w:t>Maryland</w:t>
                </w:r>
              </w:smartTag>
            </w:smartTag>
            <w:r>
              <w:t xml:space="preserve"> law unconstitutionally interfere with congressional powers?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4" name="Picture 4"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rHeight w:val="1080"/>
          <w:tblCellSpacing w:w="0" w:type="dxa"/>
        </w:trPr>
        <w:tc>
          <w:tcPr>
            <w:tcW w:w="0" w:type="auto"/>
            <w:gridSpan w:val="2"/>
          </w:tcPr>
          <w:p w:rsidR="00F379E5" w:rsidRDefault="00F379E5">
            <w:pPr>
              <w:pStyle w:val="Heading4"/>
            </w:pPr>
            <w:r>
              <w:t xml:space="preserve">Conclusion </w:t>
            </w:r>
          </w:p>
          <w:p w:rsidR="00F379E5" w:rsidRDefault="00F379E5">
            <w:pPr>
              <w:pStyle w:val="NormalWeb"/>
            </w:pPr>
            <w:r>
              <w:t xml:space="preserve">In a unanimous decision, the Court held that Congress had the power to incorporate the bank and that </w:t>
            </w:r>
            <w:smartTag w:uri="urn:schemas-microsoft-com:office:smarttags" w:element="State">
              <w:smartTag w:uri="urn:schemas-microsoft-com:office:smarttags" w:element="place">
                <w:r>
                  <w:t>Maryland</w:t>
                </w:r>
              </w:smartTag>
            </w:smartTag>
            <w:r>
              <w:t xml:space="preserve"> could not tax instruments of the national government employed in the execution of constitutional powers. Writing for the Court, Chief Justice Marshall noted that Congress possessed </w:t>
            </w:r>
            <w:proofErr w:type="spellStart"/>
            <w:r>
              <w:t>unenumerated</w:t>
            </w:r>
            <w:proofErr w:type="spellEnd"/>
            <w:r>
              <w:t xml:space="preserve"> powers not explicitly outlined in the Constitution. </w:t>
            </w:r>
            <w:smartTag w:uri="urn:schemas-microsoft-com:office:smarttags" w:element="place">
              <w:smartTag w:uri="urn:schemas-microsoft-com:office:smarttags" w:element="City">
                <w:r>
                  <w:t>Marshall</w:t>
                </w:r>
              </w:smartTag>
            </w:smartTag>
            <w:r>
              <w:t xml:space="preserve"> also held that while the states retained the power of taxation, "the constitution and the laws made in pursuance thereof are </w:t>
            </w:r>
            <w:proofErr w:type="gramStart"/>
            <w:r>
              <w:t>supreme.</w:t>
            </w:r>
            <w:proofErr w:type="gramEnd"/>
            <w:r>
              <w:t xml:space="preserve"> . .they control the constitution and laws of the respective states, and cannot be controlled by them."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bl>
    <w:p w:rsidR="00F379E5" w:rsidRDefault="00F379E5" w:rsidP="00F379E5">
      <w:pPr>
        <w:pStyle w:val="Heading1"/>
      </w:pPr>
    </w:p>
    <w:p w:rsidR="00F379E5" w:rsidRDefault="00F379E5" w:rsidP="00F379E5">
      <w:pPr>
        <w:pStyle w:val="Heading1"/>
      </w:pPr>
      <w:r>
        <w:br w:type="page"/>
      </w:r>
      <w:r>
        <w:lastRenderedPageBreak/>
        <w:t xml:space="preserve">Gibbons v. </w:t>
      </w:r>
      <w:smartTag w:uri="urn:schemas-microsoft-com:office:smarttags" w:element="place">
        <w:smartTag w:uri="urn:schemas-microsoft-com:office:smarttags" w:element="City">
          <w:r>
            <w:t>Ogden</w:t>
          </w:r>
        </w:smartTag>
      </w:smartTag>
    </w:p>
    <w:p w:rsidR="00F379E5" w:rsidRDefault="00F379E5" w:rsidP="00F379E5">
      <w:pPr>
        <w:pStyle w:val="Heading2"/>
      </w:pPr>
      <w:r>
        <w:t xml:space="preserve">22 </w:t>
      </w:r>
      <w:smartTag w:uri="urn:schemas-microsoft-com:office:smarttags" w:element="country-region">
        <w:smartTag w:uri="urn:schemas-microsoft-com:office:smarttags" w:element="place">
          <w:r>
            <w:t>U.S.</w:t>
          </w:r>
        </w:smartTag>
      </w:smartTag>
      <w:r>
        <w:t xml:space="preserve"> 1 (1824) </w:t>
      </w:r>
    </w:p>
    <w:p w:rsidR="00F379E5" w:rsidRDefault="00F379E5" w:rsidP="00F379E5">
      <w:pPr>
        <w:pStyle w:val="Heading3"/>
      </w:pPr>
      <w:r>
        <w:t xml:space="preserve">Docket Number: </w:t>
      </w:r>
    </w:p>
    <w:p w:rsidR="00F379E5" w:rsidRDefault="00F379E5" w:rsidP="00F379E5">
      <w:pPr>
        <w:pStyle w:val="Heading3"/>
      </w:pPr>
      <w:r>
        <w:t>Abstract</w:t>
      </w:r>
    </w:p>
    <w:p w:rsidR="00F379E5" w:rsidRDefault="00F379E5" w:rsidP="00F379E5">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F379E5">
        <w:trPr>
          <w:tblCellSpacing w:w="0" w:type="dxa"/>
        </w:trPr>
        <w:tc>
          <w:tcPr>
            <w:tcW w:w="0" w:type="auto"/>
            <w:gridSpan w:val="10"/>
            <w:vAlign w:val="center"/>
          </w:tcPr>
          <w:p w:rsidR="00F379E5" w:rsidRDefault="0032080E">
            <w:pPr>
              <w:rPr>
                <w:szCs w:val="24"/>
              </w:rPr>
            </w:pPr>
            <w:r>
              <w:rPr>
                <w:noProof/>
              </w:rPr>
              <w:drawing>
                <wp:inline distT="0" distB="0" distL="0" distR="0">
                  <wp:extent cx="9525" cy="38100"/>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F379E5">
        <w:trPr>
          <w:tblCellSpacing w:w="0" w:type="dxa"/>
        </w:trPr>
        <w:tc>
          <w:tcPr>
            <w:tcW w:w="1000" w:type="pct"/>
          </w:tcPr>
          <w:p w:rsidR="00F379E5" w:rsidRDefault="00F379E5">
            <w:pPr>
              <w:pStyle w:val="List1"/>
            </w:pPr>
            <w:r>
              <w:t>Decided:</w:t>
            </w:r>
          </w:p>
        </w:tc>
        <w:tc>
          <w:tcPr>
            <w:tcW w:w="4000" w:type="pct"/>
          </w:tcPr>
          <w:p w:rsidR="00F379E5" w:rsidRDefault="00F379E5">
            <w:pPr>
              <w:pStyle w:val="List1"/>
            </w:pPr>
            <w:r>
              <w:t>March 2, 1824</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1000" w:type="pct"/>
          </w:tcPr>
          <w:p w:rsidR="00F379E5" w:rsidRDefault="00F379E5">
            <w:pPr>
              <w:pStyle w:val="List1"/>
            </w:pPr>
            <w:r>
              <w:t>Argued:</w:t>
            </w:r>
          </w:p>
        </w:tc>
        <w:tc>
          <w:tcPr>
            <w:tcW w:w="4000" w:type="pct"/>
          </w:tcPr>
          <w:p w:rsidR="00F379E5" w:rsidRDefault="00F379E5">
            <w:pPr>
              <w:pStyle w:val="List1"/>
            </w:pPr>
            <w:r>
              <w:t>February 4, 1824</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6" name="Picture 6"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0" w:type="auto"/>
            <w:gridSpan w:val="2"/>
          </w:tcPr>
          <w:p w:rsidR="00F379E5" w:rsidRDefault="00F379E5">
            <w:pPr>
              <w:pStyle w:val="Heading4"/>
            </w:pPr>
            <w:r>
              <w:t xml:space="preserve">Facts of the Case </w:t>
            </w:r>
          </w:p>
          <w:p w:rsidR="00F379E5" w:rsidRDefault="00F379E5">
            <w:pPr>
              <w:pStyle w:val="NormalWeb"/>
            </w:pPr>
            <w:r>
              <w:t xml:space="preserve">A </w:t>
            </w:r>
            <w:smartTag w:uri="urn:schemas-microsoft-com:office:smarttags" w:element="State">
              <w:smartTag w:uri="urn:schemas-microsoft-com:office:smarttags" w:element="place">
                <w:r>
                  <w:t>New York</w:t>
                </w:r>
              </w:smartTag>
            </w:smartTag>
            <w:r>
              <w:t xml:space="preserve"> state law gave two individuals the exclusive right to operate steamboats on waters within state jurisdiction. Laws like this one were duplicated elsewhere which led to friction as some states would require foreign (out-of-state) boats to pay substantial fees for navigation privileges. In this case a steamboat owner who did business between </w:t>
            </w:r>
            <w:smartTag w:uri="urn:schemas-microsoft-com:office:smarttags" w:element="State">
              <w:r>
                <w:t>New York</w:t>
              </w:r>
            </w:smartTag>
            <w:r>
              <w:t xml:space="preserve"> and </w:t>
            </w:r>
            <w:smartTag w:uri="urn:schemas-microsoft-com:office:smarttags" w:element="State">
              <w:r>
                <w:t>New Jersey</w:t>
              </w:r>
            </w:smartTag>
            <w:r>
              <w:t xml:space="preserve"> challenged the monopoly that </w:t>
            </w:r>
            <w:smartTag w:uri="urn:schemas-microsoft-com:office:smarttags" w:element="State">
              <w:smartTag w:uri="urn:schemas-microsoft-com:office:smarttags" w:element="place">
                <w:r>
                  <w:t>New York</w:t>
                </w:r>
              </w:smartTag>
            </w:smartTag>
            <w:r>
              <w:t xml:space="preserve"> had granted, which forced him to obtain a special operating permit from the state to navigate on its waters.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7" name="Picture 7"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rHeight w:val="405"/>
          <w:tblCellSpacing w:w="0" w:type="dxa"/>
        </w:trPr>
        <w:tc>
          <w:tcPr>
            <w:tcW w:w="0" w:type="auto"/>
            <w:gridSpan w:val="2"/>
          </w:tcPr>
          <w:p w:rsidR="00F379E5" w:rsidRDefault="00F379E5">
            <w:pPr>
              <w:pStyle w:val="Heading4"/>
            </w:pPr>
            <w:r>
              <w:t xml:space="preserve">Question Presented </w:t>
            </w:r>
          </w:p>
          <w:p w:rsidR="00F379E5" w:rsidRDefault="00F379E5">
            <w:pPr>
              <w:pStyle w:val="NormalWeb"/>
            </w:pPr>
            <w:r>
              <w:t xml:space="preserve">Did the State of </w:t>
            </w:r>
            <w:smartTag w:uri="urn:schemas-microsoft-com:office:smarttags" w:element="State">
              <w:smartTag w:uri="urn:schemas-microsoft-com:office:smarttags" w:element="place">
                <w:r>
                  <w:t>New York</w:t>
                </w:r>
              </w:smartTag>
            </w:smartTag>
            <w:r>
              <w:t xml:space="preserve"> exercise authority in a realm reserved exclusively to Congress, namely, the regulation of interstate commerce?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8" name="Picture 8"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rHeight w:val="1080"/>
          <w:tblCellSpacing w:w="0" w:type="dxa"/>
        </w:trPr>
        <w:tc>
          <w:tcPr>
            <w:tcW w:w="0" w:type="auto"/>
            <w:gridSpan w:val="2"/>
          </w:tcPr>
          <w:p w:rsidR="00F379E5" w:rsidRDefault="00F379E5">
            <w:pPr>
              <w:pStyle w:val="Heading4"/>
            </w:pPr>
            <w:r>
              <w:t xml:space="preserve">Conclusion </w:t>
            </w:r>
          </w:p>
          <w:p w:rsidR="00F379E5" w:rsidRDefault="00F379E5">
            <w:pPr>
              <w:pStyle w:val="NormalWeb"/>
            </w:pPr>
            <w:r>
              <w:t xml:space="preserve">The Court found that </w:t>
            </w:r>
            <w:smartTag w:uri="urn:schemas-microsoft-com:office:smarttags" w:element="State">
              <w:smartTag w:uri="urn:schemas-microsoft-com:office:smarttags" w:element="place">
                <w:r>
                  <w:t>New York</w:t>
                </w:r>
              </w:smartTag>
            </w:smartTag>
            <w:r>
              <w:t xml:space="preserve">'s licensing requirement for out-of-state operators was inconsistent with a congressional act regulating the coasting trade. The </w:t>
            </w:r>
            <w:smartTag w:uri="urn:schemas-microsoft-com:office:smarttags" w:element="State">
              <w:smartTag w:uri="urn:schemas-microsoft-com:office:smarttags" w:element="place">
                <w:r>
                  <w:t>New York</w:t>
                </w:r>
              </w:smartTag>
            </w:smartTag>
            <w:r>
              <w:t xml:space="preserve"> law was invalid by virtue of the Supremacy Clause. In his opinion, Chief Justice Marshall developed a clear definition of the word commerce, which included navigation on interstate waterways. He also gave meaning to the phrase "among the several states" in the Commerce Clause. </w:t>
            </w:r>
            <w:smartTag w:uri="urn:schemas-microsoft-com:office:smarttags" w:element="City">
              <w:smartTag w:uri="urn:schemas-microsoft-com:office:smarttags" w:element="place">
                <w:r>
                  <w:t>Marshall</w:t>
                </w:r>
              </w:smartTag>
            </w:smartTag>
            <w:r>
              <w:t xml:space="preserve">'s was one of the earliest and most influential opinions concerning this important clause. He concluded that regulation of navigation by steamboat operators and others for purposes of conducting interstate commerce was a power reserved to and exercised by the Congress.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bl>
    <w:p w:rsidR="00F379E5" w:rsidRDefault="00F379E5">
      <w:r>
        <w:t>(</w:t>
      </w:r>
      <w:proofErr w:type="gramStart"/>
      <w:r>
        <w:t>oyez</w:t>
      </w:r>
      <w:proofErr w:type="gramEnd"/>
      <w:r>
        <w:t>)</w:t>
      </w:r>
    </w:p>
    <w:p w:rsidR="00F379E5" w:rsidRDefault="00F379E5"/>
    <w:p w:rsidR="00F379E5" w:rsidRDefault="00F379E5"/>
    <w:p w:rsidR="00F379E5" w:rsidRDefault="00F379E5"/>
    <w:p w:rsidR="00F379E5" w:rsidRDefault="00F379E5"/>
    <w:p w:rsidR="00F379E5" w:rsidRDefault="00F379E5"/>
    <w:p w:rsidR="00F379E5" w:rsidRDefault="00F379E5"/>
    <w:p w:rsidR="00F379E5" w:rsidRDefault="00F379E5"/>
    <w:p w:rsidR="00F379E5" w:rsidRDefault="00F379E5"/>
    <w:p w:rsidR="00F379E5" w:rsidRDefault="00F379E5" w:rsidP="00F379E5">
      <w:pPr>
        <w:pStyle w:val="Heading1"/>
      </w:pPr>
      <w:r>
        <w:lastRenderedPageBreak/>
        <w:t xml:space="preserve">Plessy v. </w:t>
      </w:r>
      <w:smartTag w:uri="urn:schemas-microsoft-com:office:smarttags" w:element="City">
        <w:smartTag w:uri="urn:schemas-microsoft-com:office:smarttags" w:element="place">
          <w:r>
            <w:t>Ferguson</w:t>
          </w:r>
        </w:smartTag>
      </w:smartTag>
    </w:p>
    <w:p w:rsidR="00F379E5" w:rsidRDefault="00F379E5" w:rsidP="00F379E5">
      <w:pPr>
        <w:pStyle w:val="Heading2"/>
      </w:pPr>
      <w:r>
        <w:t xml:space="preserve">163 </w:t>
      </w:r>
      <w:smartTag w:uri="urn:schemas-microsoft-com:office:smarttags" w:element="country-region">
        <w:smartTag w:uri="urn:schemas-microsoft-com:office:smarttags" w:element="place">
          <w:r>
            <w:t>U.S.</w:t>
          </w:r>
        </w:smartTag>
      </w:smartTag>
      <w:r>
        <w:t xml:space="preserve"> 537 (1896) </w:t>
      </w:r>
    </w:p>
    <w:p w:rsidR="00F379E5" w:rsidRDefault="00F379E5" w:rsidP="00F379E5">
      <w:pPr>
        <w:pStyle w:val="Heading3"/>
      </w:pPr>
      <w:r>
        <w:t>Docket Number: 210</w:t>
      </w:r>
    </w:p>
    <w:p w:rsidR="00F379E5" w:rsidRDefault="00F379E5" w:rsidP="00F379E5">
      <w:pPr>
        <w:pStyle w:val="Heading3"/>
      </w:pPr>
      <w:r>
        <w:t>Abstract</w:t>
      </w:r>
    </w:p>
    <w:p w:rsidR="00F379E5" w:rsidRDefault="00F379E5" w:rsidP="00F379E5">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F379E5">
        <w:trPr>
          <w:tblCellSpacing w:w="0" w:type="dxa"/>
        </w:trPr>
        <w:tc>
          <w:tcPr>
            <w:tcW w:w="0" w:type="auto"/>
            <w:gridSpan w:val="10"/>
            <w:vAlign w:val="center"/>
          </w:tcPr>
          <w:p w:rsidR="00F379E5" w:rsidRDefault="0032080E">
            <w:pPr>
              <w:rPr>
                <w:szCs w:val="24"/>
              </w:rPr>
            </w:pPr>
            <w:r>
              <w:rPr>
                <w:noProof/>
              </w:rPr>
              <w:drawing>
                <wp:inline distT="0" distB="0" distL="0" distR="0">
                  <wp:extent cx="9525" cy="38100"/>
                  <wp:effectExtent l="0" t="0" r="0" b="0"/>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F379E5">
        <w:trPr>
          <w:tblCellSpacing w:w="0" w:type="dxa"/>
        </w:trPr>
        <w:tc>
          <w:tcPr>
            <w:tcW w:w="1000" w:type="pct"/>
          </w:tcPr>
          <w:p w:rsidR="00F379E5" w:rsidRDefault="00F379E5">
            <w:pPr>
              <w:pStyle w:val="List1"/>
            </w:pPr>
            <w:r>
              <w:t>Decided:</w:t>
            </w:r>
          </w:p>
        </w:tc>
        <w:tc>
          <w:tcPr>
            <w:tcW w:w="4000" w:type="pct"/>
          </w:tcPr>
          <w:p w:rsidR="00F379E5" w:rsidRDefault="00F379E5">
            <w:pPr>
              <w:pStyle w:val="List1"/>
            </w:pPr>
            <w:r>
              <w:t>May 18, 1896</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1000" w:type="pct"/>
          </w:tcPr>
          <w:p w:rsidR="00F379E5" w:rsidRDefault="00F379E5">
            <w:pPr>
              <w:pStyle w:val="List1"/>
            </w:pPr>
            <w:r>
              <w:t>Argued:</w:t>
            </w:r>
          </w:p>
        </w:tc>
        <w:tc>
          <w:tcPr>
            <w:tcW w:w="4000" w:type="pct"/>
          </w:tcPr>
          <w:p w:rsidR="00F379E5" w:rsidRDefault="00F379E5">
            <w:pPr>
              <w:pStyle w:val="List1"/>
            </w:pPr>
            <w:r>
              <w:t>April 13, 1896</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10" name="Picture 10"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0" w:type="auto"/>
            <w:gridSpan w:val="2"/>
          </w:tcPr>
          <w:p w:rsidR="00F379E5" w:rsidRDefault="00F379E5">
            <w:pPr>
              <w:pStyle w:val="Heading4"/>
            </w:pPr>
            <w:r>
              <w:t xml:space="preserve">Facts of the Case </w:t>
            </w:r>
          </w:p>
          <w:p w:rsidR="00F379E5" w:rsidRDefault="00F379E5">
            <w:pPr>
              <w:pStyle w:val="NormalWeb"/>
            </w:pPr>
            <w:r>
              <w:t xml:space="preserve">The state of </w:t>
            </w:r>
            <w:smartTag w:uri="urn:schemas-microsoft-com:office:smarttags" w:element="State">
              <w:smartTag w:uri="urn:schemas-microsoft-com:office:smarttags" w:element="place">
                <w:r>
                  <w:t>Louisiana</w:t>
                </w:r>
              </w:smartTag>
            </w:smartTag>
            <w:r>
              <w:t xml:space="preserve"> enacted a law that required separate railway cars for blacks and whites. In 1892, Homer Adolph Plessy--who was seven-eighths Caucasian--took a seat in a "whites only" car of a </w:t>
            </w:r>
            <w:smartTag w:uri="urn:schemas-microsoft-com:office:smarttags" w:element="State">
              <w:smartTag w:uri="urn:schemas-microsoft-com:office:smarttags" w:element="place">
                <w:r>
                  <w:t>Louisiana</w:t>
                </w:r>
              </w:smartTag>
            </w:smartTag>
            <w:r>
              <w:t xml:space="preserve"> train. He refused to move to the car reserved for blacks and was arrested.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11" name="Picture 1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rHeight w:val="405"/>
          <w:tblCellSpacing w:w="0" w:type="dxa"/>
        </w:trPr>
        <w:tc>
          <w:tcPr>
            <w:tcW w:w="0" w:type="auto"/>
            <w:gridSpan w:val="2"/>
          </w:tcPr>
          <w:p w:rsidR="00F379E5" w:rsidRDefault="00F379E5">
            <w:pPr>
              <w:pStyle w:val="Heading4"/>
            </w:pPr>
            <w:r>
              <w:t xml:space="preserve">Question Presented </w:t>
            </w:r>
          </w:p>
          <w:p w:rsidR="00F379E5" w:rsidRDefault="00F379E5">
            <w:pPr>
              <w:pStyle w:val="NormalWeb"/>
            </w:pPr>
            <w:r>
              <w:t xml:space="preserve">Is </w:t>
            </w:r>
            <w:smartTag w:uri="urn:schemas-microsoft-com:office:smarttags" w:element="State">
              <w:smartTag w:uri="urn:schemas-microsoft-com:office:smarttags" w:element="place">
                <w:r>
                  <w:t>Louisiana</w:t>
                </w:r>
              </w:smartTag>
            </w:smartTag>
            <w:r>
              <w:t xml:space="preserve">'s law mandating racial segregation on its trains an unconstitutional infringement on both the privileges and immunities and the equal protection clauses of the Fourteenth Amendment?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12" name="Picture 1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rHeight w:val="1080"/>
          <w:tblCellSpacing w:w="0" w:type="dxa"/>
        </w:trPr>
        <w:tc>
          <w:tcPr>
            <w:tcW w:w="0" w:type="auto"/>
            <w:gridSpan w:val="2"/>
          </w:tcPr>
          <w:p w:rsidR="00F379E5" w:rsidRDefault="00F379E5">
            <w:pPr>
              <w:pStyle w:val="Heading4"/>
            </w:pPr>
            <w:r>
              <w:t xml:space="preserve">Conclusion </w:t>
            </w:r>
          </w:p>
          <w:p w:rsidR="00F379E5" w:rsidRDefault="00F379E5">
            <w:pPr>
              <w:pStyle w:val="NormalWeb"/>
            </w:pPr>
            <w:r>
              <w:t>No, the state law is within constitutional boundaries. The majority, in an opinion authored by Justice Henry Billings Brown, upheld state-imposed racial segregation. The justices based their decision on the separate-but-equal doctrine, that separate facilities for blacks and whites satisfied the Fourteenth Amendment so long as they were equal. (The phrase, "separate but equal" was not part of the opinion.) Justice Brown conceded that the 14th amendment intended to establish absolute equality for the races before the law. But Brown noted that "in the nature of things it could not have been intended to abolish distinctions based upon color, or to enforce social, as distinguished from political equality, or a commingling of the two races unsatisfactory to either." In short, segregation does not in itself constitute unlawful discrimination.</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bl>
    <w:p w:rsidR="00F379E5" w:rsidRDefault="00F379E5"/>
    <w:p w:rsidR="00F379E5" w:rsidRDefault="00F379E5"/>
    <w:p w:rsidR="00F379E5" w:rsidRDefault="00F379E5"/>
    <w:p w:rsidR="00F379E5" w:rsidRDefault="00F379E5"/>
    <w:p w:rsidR="004D3DBE" w:rsidRDefault="004D3DBE"/>
    <w:p w:rsidR="00F379E5" w:rsidRDefault="00F379E5"/>
    <w:p w:rsidR="00F379E5" w:rsidRDefault="00F379E5"/>
    <w:p w:rsidR="00F379E5" w:rsidRDefault="00F379E5"/>
    <w:p w:rsidR="00F379E5" w:rsidRDefault="00F379E5"/>
    <w:tbl>
      <w:tblPr>
        <w:tblW w:w="5000" w:type="pct"/>
        <w:tblCellSpacing w:w="15" w:type="dxa"/>
        <w:tblCellMar>
          <w:left w:w="0" w:type="dxa"/>
          <w:bottom w:w="450" w:type="dxa"/>
          <w:right w:w="0" w:type="dxa"/>
        </w:tblCellMar>
        <w:tblLook w:val="0000" w:firstRow="0" w:lastRow="0" w:firstColumn="0" w:lastColumn="0" w:noHBand="0" w:noVBand="0"/>
      </w:tblPr>
      <w:tblGrid>
        <w:gridCol w:w="10860"/>
      </w:tblGrid>
      <w:tr w:rsidR="00A6664C" w:rsidRPr="00A6664C">
        <w:trPr>
          <w:tblCellSpacing w:w="15" w:type="dxa"/>
        </w:trPr>
        <w:tc>
          <w:tcPr>
            <w:tcW w:w="0" w:type="auto"/>
            <w:tcMar>
              <w:top w:w="0" w:type="dxa"/>
              <w:left w:w="0" w:type="dxa"/>
              <w:bottom w:w="0" w:type="dxa"/>
              <w:right w:w="0" w:type="dxa"/>
            </w:tcMar>
          </w:tcPr>
          <w:p w:rsidR="00A6664C" w:rsidRPr="00A6664C" w:rsidRDefault="00A6664C" w:rsidP="00A6664C">
            <w:pPr>
              <w:rPr>
                <w:rFonts w:ascii="Verdana" w:hAnsi="Verdana" w:cs="Arial"/>
                <w:b/>
                <w:bCs/>
                <w:color w:val="333333"/>
                <w:szCs w:val="24"/>
              </w:rPr>
            </w:pPr>
            <w:r w:rsidRPr="00A6664C">
              <w:rPr>
                <w:rFonts w:ascii="Verdana" w:hAnsi="Verdana" w:cs="Arial"/>
                <w:b/>
                <w:bCs/>
                <w:color w:val="333333"/>
                <w:szCs w:val="24"/>
              </w:rPr>
              <w:lastRenderedPageBreak/>
              <w:t>Brown v. Board of Education (I)</w:t>
            </w:r>
          </w:p>
          <w:tbl>
            <w:tblPr>
              <w:tblW w:w="0" w:type="auto"/>
              <w:tblCellSpacing w:w="15" w:type="dxa"/>
              <w:tblInd w:w="210" w:type="dxa"/>
              <w:tblCellMar>
                <w:left w:w="0" w:type="dxa"/>
                <w:right w:w="0" w:type="dxa"/>
              </w:tblCellMar>
              <w:tblLook w:val="0000" w:firstRow="0" w:lastRow="0" w:firstColumn="0" w:lastColumn="0" w:noHBand="0" w:noVBand="0"/>
            </w:tblPr>
            <w:tblGrid>
              <w:gridCol w:w="1887"/>
              <w:gridCol w:w="8703"/>
            </w:tblGrid>
            <w:tr w:rsidR="00A6664C" w:rsidRPr="00A6664C">
              <w:trPr>
                <w:tblCellSpacing w:w="15" w:type="dxa"/>
              </w:trPr>
              <w:tc>
                <w:tcPr>
                  <w:tcW w:w="0" w:type="auto"/>
                </w:tcPr>
                <w:p w:rsidR="00A6664C" w:rsidRPr="00A6664C" w:rsidRDefault="00A6664C" w:rsidP="00A6664C">
                  <w:pPr>
                    <w:rPr>
                      <w:rFonts w:ascii="Verdana" w:hAnsi="Verdana" w:cs="Arial"/>
                      <w:b/>
                      <w:bCs/>
                      <w:szCs w:val="24"/>
                    </w:rPr>
                  </w:pPr>
                  <w:r w:rsidRPr="00A6664C">
                    <w:rPr>
                      <w:rFonts w:ascii="Verdana" w:hAnsi="Verdana" w:cs="Arial"/>
                      <w:b/>
                      <w:bCs/>
                      <w:szCs w:val="24"/>
                    </w:rPr>
                    <w:t>Docket:</w:t>
                  </w:r>
                </w:p>
              </w:tc>
              <w:tc>
                <w:tcPr>
                  <w:tcW w:w="0" w:type="auto"/>
                  <w:tcMar>
                    <w:top w:w="0" w:type="dxa"/>
                    <w:left w:w="150" w:type="dxa"/>
                    <w:bottom w:w="0" w:type="dxa"/>
                    <w:right w:w="0" w:type="dxa"/>
                  </w:tcMar>
                </w:tcPr>
                <w:p w:rsidR="00A6664C" w:rsidRPr="00A6664C" w:rsidRDefault="00A6664C" w:rsidP="00A6664C">
                  <w:pPr>
                    <w:rPr>
                      <w:rFonts w:ascii="Verdana" w:hAnsi="Verdana" w:cs="Arial"/>
                      <w:szCs w:val="24"/>
                    </w:rPr>
                  </w:pPr>
                  <w:r w:rsidRPr="00A6664C">
                    <w:rPr>
                      <w:rFonts w:ascii="Verdana" w:hAnsi="Verdana" w:cs="Arial"/>
                      <w:szCs w:val="24"/>
                    </w:rPr>
                    <w:t>1</w:t>
                  </w:r>
                </w:p>
              </w:tc>
            </w:tr>
            <w:tr w:rsidR="00A6664C" w:rsidRPr="00A6664C">
              <w:trPr>
                <w:tblCellSpacing w:w="15" w:type="dxa"/>
              </w:trPr>
              <w:tc>
                <w:tcPr>
                  <w:tcW w:w="0" w:type="auto"/>
                </w:tcPr>
                <w:p w:rsidR="00A6664C" w:rsidRPr="00A6664C" w:rsidRDefault="00A6664C" w:rsidP="00A6664C">
                  <w:pPr>
                    <w:rPr>
                      <w:rFonts w:ascii="Verdana" w:hAnsi="Verdana" w:cs="Arial"/>
                      <w:b/>
                      <w:bCs/>
                      <w:szCs w:val="24"/>
                    </w:rPr>
                  </w:pPr>
                  <w:r w:rsidRPr="00A6664C">
                    <w:rPr>
                      <w:rFonts w:ascii="Verdana" w:hAnsi="Verdana" w:cs="Arial"/>
                      <w:b/>
                      <w:bCs/>
                      <w:szCs w:val="24"/>
                    </w:rPr>
                    <w:t>Citation:</w:t>
                  </w:r>
                </w:p>
              </w:tc>
              <w:tc>
                <w:tcPr>
                  <w:tcW w:w="0" w:type="auto"/>
                  <w:tcMar>
                    <w:top w:w="0" w:type="dxa"/>
                    <w:left w:w="150" w:type="dxa"/>
                    <w:bottom w:w="0" w:type="dxa"/>
                    <w:right w:w="0" w:type="dxa"/>
                  </w:tcMar>
                </w:tcPr>
                <w:p w:rsidR="00A6664C" w:rsidRPr="00A6664C" w:rsidRDefault="00A6664C" w:rsidP="00A6664C">
                  <w:pPr>
                    <w:rPr>
                      <w:rFonts w:ascii="Verdana" w:hAnsi="Verdana" w:cs="Arial"/>
                      <w:szCs w:val="24"/>
                    </w:rPr>
                  </w:pPr>
                  <w:r w:rsidRPr="00A6664C">
                    <w:rPr>
                      <w:rFonts w:ascii="Verdana" w:hAnsi="Verdana" w:cs="Arial"/>
                      <w:szCs w:val="24"/>
                    </w:rPr>
                    <w:t xml:space="preserve">347 </w:t>
                  </w:r>
                  <w:smartTag w:uri="urn:schemas-microsoft-com:office:smarttags" w:element="country-region">
                    <w:smartTag w:uri="urn:schemas-microsoft-com:office:smarttags" w:element="place">
                      <w:r w:rsidRPr="00A6664C">
                        <w:rPr>
                          <w:rFonts w:ascii="Verdana" w:hAnsi="Verdana" w:cs="Arial"/>
                          <w:szCs w:val="24"/>
                        </w:rPr>
                        <w:t>U.S.</w:t>
                      </w:r>
                    </w:smartTag>
                  </w:smartTag>
                  <w:r w:rsidRPr="00A6664C">
                    <w:rPr>
                      <w:rFonts w:ascii="Verdana" w:hAnsi="Verdana" w:cs="Arial"/>
                      <w:szCs w:val="24"/>
                    </w:rPr>
                    <w:t xml:space="preserve"> 483 (1954) </w:t>
                  </w:r>
                </w:p>
              </w:tc>
            </w:tr>
            <w:tr w:rsidR="00A6664C" w:rsidRPr="00A6664C">
              <w:trPr>
                <w:tblCellSpacing w:w="15" w:type="dxa"/>
              </w:trPr>
              <w:tc>
                <w:tcPr>
                  <w:tcW w:w="0" w:type="auto"/>
                </w:tcPr>
                <w:p w:rsidR="00A6664C" w:rsidRPr="00A6664C" w:rsidRDefault="00A6664C" w:rsidP="00A6664C">
                  <w:pPr>
                    <w:rPr>
                      <w:rFonts w:ascii="Verdana" w:hAnsi="Verdana" w:cs="Arial"/>
                      <w:b/>
                      <w:bCs/>
                      <w:szCs w:val="24"/>
                    </w:rPr>
                  </w:pPr>
                  <w:r w:rsidRPr="00A6664C">
                    <w:rPr>
                      <w:rFonts w:ascii="Verdana" w:hAnsi="Verdana" w:cs="Arial"/>
                      <w:b/>
                      <w:bCs/>
                      <w:szCs w:val="24"/>
                    </w:rPr>
                    <w:t>Petitioner:</w:t>
                  </w:r>
                </w:p>
              </w:tc>
              <w:tc>
                <w:tcPr>
                  <w:tcW w:w="0" w:type="auto"/>
                  <w:tcMar>
                    <w:top w:w="0" w:type="dxa"/>
                    <w:left w:w="150" w:type="dxa"/>
                    <w:bottom w:w="0" w:type="dxa"/>
                    <w:right w:w="0" w:type="dxa"/>
                  </w:tcMar>
                </w:tcPr>
                <w:p w:rsidR="00A6664C" w:rsidRPr="00A6664C" w:rsidRDefault="00A6664C" w:rsidP="00A6664C">
                  <w:pPr>
                    <w:rPr>
                      <w:rFonts w:ascii="Verdana" w:hAnsi="Verdana" w:cs="Arial"/>
                      <w:szCs w:val="24"/>
                    </w:rPr>
                  </w:pPr>
                  <w:r w:rsidRPr="00A6664C">
                    <w:rPr>
                      <w:rFonts w:ascii="Verdana" w:hAnsi="Verdana" w:cs="Arial"/>
                      <w:szCs w:val="24"/>
                    </w:rPr>
                    <w:t>Brown</w:t>
                  </w:r>
                </w:p>
              </w:tc>
            </w:tr>
            <w:tr w:rsidR="00A6664C" w:rsidRPr="00A6664C">
              <w:trPr>
                <w:tblCellSpacing w:w="15" w:type="dxa"/>
              </w:trPr>
              <w:tc>
                <w:tcPr>
                  <w:tcW w:w="0" w:type="auto"/>
                </w:tcPr>
                <w:p w:rsidR="00A6664C" w:rsidRPr="00A6664C" w:rsidRDefault="00A6664C" w:rsidP="00A6664C">
                  <w:pPr>
                    <w:rPr>
                      <w:rFonts w:ascii="Verdana" w:hAnsi="Verdana" w:cs="Arial"/>
                      <w:b/>
                      <w:bCs/>
                      <w:szCs w:val="24"/>
                    </w:rPr>
                  </w:pPr>
                  <w:r w:rsidRPr="00A6664C">
                    <w:rPr>
                      <w:rFonts w:ascii="Verdana" w:hAnsi="Verdana" w:cs="Arial"/>
                      <w:b/>
                      <w:bCs/>
                      <w:szCs w:val="24"/>
                    </w:rPr>
                    <w:t>Respondent:</w:t>
                  </w:r>
                </w:p>
              </w:tc>
              <w:tc>
                <w:tcPr>
                  <w:tcW w:w="0" w:type="auto"/>
                  <w:tcMar>
                    <w:top w:w="0" w:type="dxa"/>
                    <w:left w:w="150" w:type="dxa"/>
                    <w:bottom w:w="0" w:type="dxa"/>
                    <w:right w:w="0" w:type="dxa"/>
                  </w:tcMar>
                </w:tcPr>
                <w:p w:rsidR="00A6664C" w:rsidRPr="00A6664C" w:rsidRDefault="00A6664C" w:rsidP="00A6664C">
                  <w:pPr>
                    <w:rPr>
                      <w:rFonts w:ascii="Verdana" w:hAnsi="Verdana" w:cs="Arial"/>
                      <w:szCs w:val="24"/>
                    </w:rPr>
                  </w:pPr>
                  <w:r w:rsidRPr="00A6664C">
                    <w:rPr>
                      <w:rFonts w:ascii="Verdana" w:hAnsi="Verdana" w:cs="Arial"/>
                      <w:szCs w:val="24"/>
                    </w:rPr>
                    <w:t xml:space="preserve">Board of Education of </w:t>
                  </w:r>
                  <w:smartTag w:uri="urn:schemas-microsoft-com:office:smarttags" w:element="City">
                    <w:smartTag w:uri="urn:schemas-microsoft-com:office:smarttags" w:element="place">
                      <w:r w:rsidRPr="00A6664C">
                        <w:rPr>
                          <w:rFonts w:ascii="Verdana" w:hAnsi="Verdana" w:cs="Arial"/>
                          <w:szCs w:val="24"/>
                        </w:rPr>
                        <w:t>Topeka</w:t>
                      </w:r>
                    </w:smartTag>
                  </w:smartTag>
                </w:p>
              </w:tc>
            </w:tr>
            <w:tr w:rsidR="00A6664C" w:rsidRPr="00A6664C">
              <w:trPr>
                <w:tblCellSpacing w:w="15" w:type="dxa"/>
              </w:trPr>
              <w:tc>
                <w:tcPr>
                  <w:tcW w:w="0" w:type="auto"/>
                </w:tcPr>
                <w:p w:rsidR="00A6664C" w:rsidRPr="00A6664C" w:rsidRDefault="00A6664C" w:rsidP="00A6664C">
                  <w:pPr>
                    <w:rPr>
                      <w:rFonts w:ascii="Verdana" w:hAnsi="Verdana" w:cs="Arial"/>
                      <w:b/>
                      <w:bCs/>
                      <w:szCs w:val="24"/>
                    </w:rPr>
                  </w:pPr>
                  <w:r w:rsidRPr="00A6664C">
                    <w:rPr>
                      <w:rFonts w:ascii="Verdana" w:hAnsi="Verdana" w:cs="Arial"/>
                      <w:b/>
                      <w:bCs/>
                      <w:szCs w:val="24"/>
                    </w:rPr>
                    <w:t>Consolidated:</w:t>
                  </w:r>
                </w:p>
              </w:tc>
              <w:tc>
                <w:tcPr>
                  <w:tcW w:w="0" w:type="auto"/>
                  <w:tcMar>
                    <w:top w:w="0" w:type="dxa"/>
                    <w:left w:w="150" w:type="dxa"/>
                    <w:bottom w:w="0" w:type="dxa"/>
                    <w:right w:w="0" w:type="dxa"/>
                  </w:tcMar>
                </w:tcPr>
                <w:p w:rsidR="00A6664C" w:rsidRPr="00A6664C" w:rsidRDefault="00A6664C" w:rsidP="00A6664C">
                  <w:pPr>
                    <w:rPr>
                      <w:rFonts w:ascii="Verdana" w:hAnsi="Verdana" w:cs="Arial"/>
                      <w:szCs w:val="24"/>
                    </w:rPr>
                  </w:pPr>
                  <w:r w:rsidRPr="00A6664C">
                    <w:rPr>
                      <w:rFonts w:ascii="Verdana" w:hAnsi="Verdana" w:cs="Arial"/>
                      <w:szCs w:val="24"/>
                    </w:rPr>
                    <w:t xml:space="preserve">Briggs v. Elliott, No. 2; Davis v. County School Board of Prince Edward County, Virginia, No. 4; </w:t>
                  </w:r>
                  <w:proofErr w:type="spellStart"/>
                  <w:r w:rsidRPr="00A6664C">
                    <w:rPr>
                      <w:rFonts w:ascii="Verdana" w:hAnsi="Verdana" w:cs="Arial"/>
                      <w:szCs w:val="24"/>
                    </w:rPr>
                    <w:t>Gebhart</w:t>
                  </w:r>
                  <w:proofErr w:type="spellEnd"/>
                  <w:r w:rsidRPr="00A6664C">
                    <w:rPr>
                      <w:rFonts w:ascii="Verdana" w:hAnsi="Verdana" w:cs="Arial"/>
                      <w:szCs w:val="24"/>
                    </w:rPr>
                    <w:t xml:space="preserve"> v. Belton, No. 10</w:t>
                  </w:r>
                </w:p>
              </w:tc>
            </w:tr>
          </w:tbl>
          <w:p w:rsidR="00A6664C" w:rsidRPr="00A6664C" w:rsidRDefault="00A6664C" w:rsidP="00A6664C">
            <w:pPr>
              <w:rPr>
                <w:rFonts w:ascii="Arial" w:hAnsi="Arial" w:cs="Arial"/>
                <w:sz w:val="18"/>
                <w:szCs w:val="18"/>
              </w:rPr>
            </w:pPr>
          </w:p>
        </w:tc>
      </w:tr>
    </w:tbl>
    <w:p w:rsidR="00F379E5" w:rsidRPr="004352E3" w:rsidRDefault="00F379E5">
      <w:pPr>
        <w:rPr>
          <w:rFonts w:ascii="Verdana" w:hAnsi="Verdana"/>
          <w:szCs w:val="24"/>
        </w:rPr>
      </w:pPr>
    </w:p>
    <w:tbl>
      <w:tblPr>
        <w:tblW w:w="5000" w:type="pct"/>
        <w:tblCellSpacing w:w="15" w:type="dxa"/>
        <w:tblCellMar>
          <w:left w:w="0" w:type="dxa"/>
          <w:bottom w:w="450" w:type="dxa"/>
          <w:right w:w="0" w:type="dxa"/>
        </w:tblCellMar>
        <w:tblLook w:val="0000" w:firstRow="0" w:lastRow="0" w:firstColumn="0" w:lastColumn="0" w:noHBand="0" w:noVBand="0"/>
      </w:tblPr>
      <w:tblGrid>
        <w:gridCol w:w="6466"/>
        <w:gridCol w:w="4394"/>
      </w:tblGrid>
      <w:tr w:rsidR="004352E3" w:rsidRPr="004352E3">
        <w:trPr>
          <w:tblCellSpacing w:w="15" w:type="dxa"/>
        </w:trPr>
        <w:tc>
          <w:tcPr>
            <w:tcW w:w="2981" w:type="pct"/>
            <w:tcMar>
              <w:top w:w="0" w:type="dxa"/>
              <w:left w:w="0" w:type="dxa"/>
              <w:bottom w:w="0" w:type="dxa"/>
              <w:right w:w="0" w:type="dxa"/>
            </w:tcMar>
          </w:tcPr>
          <w:p w:rsidR="004352E3" w:rsidRPr="004352E3" w:rsidRDefault="004352E3">
            <w:pPr>
              <w:pStyle w:val="section-title"/>
              <w:rPr>
                <w:rFonts w:ascii="Verdana" w:hAnsi="Verdana" w:cs="Arial"/>
              </w:rPr>
            </w:pPr>
            <w:r w:rsidRPr="004352E3">
              <w:rPr>
                <w:rFonts w:ascii="Verdana" w:hAnsi="Verdana" w:cs="Arial"/>
              </w:rPr>
              <w:t>Abstract</w:t>
            </w:r>
          </w:p>
          <w:tbl>
            <w:tblPr>
              <w:tblW w:w="0" w:type="auto"/>
              <w:tblCellSpacing w:w="15" w:type="dxa"/>
              <w:tblInd w:w="210" w:type="dxa"/>
              <w:tblCellMar>
                <w:left w:w="0" w:type="dxa"/>
                <w:right w:w="0" w:type="dxa"/>
              </w:tblCellMar>
              <w:tblLook w:val="0000" w:firstRow="0" w:lastRow="0" w:firstColumn="0" w:lastColumn="0" w:noHBand="0" w:noVBand="0"/>
            </w:tblPr>
            <w:tblGrid>
              <w:gridCol w:w="2288"/>
              <w:gridCol w:w="3923"/>
            </w:tblGrid>
            <w:tr w:rsidR="004352E3" w:rsidRPr="004352E3">
              <w:trPr>
                <w:tblCellSpacing w:w="15" w:type="dxa"/>
              </w:trPr>
              <w:tc>
                <w:tcPr>
                  <w:tcW w:w="0" w:type="auto"/>
                </w:tcPr>
                <w:p w:rsidR="004352E3" w:rsidRPr="004352E3" w:rsidRDefault="004352E3">
                  <w:pPr>
                    <w:rPr>
                      <w:rFonts w:ascii="Verdana" w:hAnsi="Verdana" w:cs="Arial"/>
                      <w:b/>
                      <w:bCs/>
                      <w:szCs w:val="24"/>
                    </w:rPr>
                  </w:pPr>
                  <w:r w:rsidRPr="004352E3">
                    <w:rPr>
                      <w:rFonts w:ascii="Verdana" w:hAnsi="Verdana" w:cs="Arial"/>
                      <w:b/>
                      <w:bCs/>
                      <w:szCs w:val="24"/>
                    </w:rPr>
                    <w:t>Oral Argument:</w:t>
                  </w:r>
                </w:p>
              </w:tc>
              <w:tc>
                <w:tcPr>
                  <w:tcW w:w="0" w:type="auto"/>
                  <w:tcMar>
                    <w:top w:w="0" w:type="dxa"/>
                    <w:left w:w="150" w:type="dxa"/>
                    <w:bottom w:w="0" w:type="dxa"/>
                    <w:right w:w="0" w:type="dxa"/>
                  </w:tcMar>
                </w:tcPr>
                <w:p w:rsidR="004352E3" w:rsidRPr="004352E3" w:rsidRDefault="004352E3">
                  <w:pPr>
                    <w:rPr>
                      <w:rFonts w:ascii="Verdana" w:hAnsi="Verdana" w:cs="Arial"/>
                      <w:szCs w:val="24"/>
                    </w:rPr>
                  </w:pPr>
                  <w:r w:rsidRPr="004352E3">
                    <w:rPr>
                      <w:rFonts w:ascii="Verdana" w:hAnsi="Verdana" w:cs="Arial"/>
                      <w:szCs w:val="24"/>
                    </w:rPr>
                    <w:t>December 9, 1952</w:t>
                  </w:r>
                </w:p>
              </w:tc>
            </w:tr>
            <w:tr w:rsidR="004352E3" w:rsidRPr="004352E3">
              <w:trPr>
                <w:tblCellSpacing w:w="15" w:type="dxa"/>
              </w:trPr>
              <w:tc>
                <w:tcPr>
                  <w:tcW w:w="0" w:type="auto"/>
                </w:tcPr>
                <w:p w:rsidR="004352E3" w:rsidRPr="004352E3" w:rsidRDefault="004352E3">
                  <w:pPr>
                    <w:rPr>
                      <w:rFonts w:ascii="Verdana" w:hAnsi="Verdana" w:cs="Arial"/>
                      <w:b/>
                      <w:bCs/>
                      <w:szCs w:val="24"/>
                    </w:rPr>
                  </w:pPr>
                  <w:r w:rsidRPr="004352E3">
                    <w:rPr>
                      <w:rFonts w:ascii="Verdana" w:hAnsi="Verdana" w:cs="Arial"/>
                      <w:b/>
                      <w:bCs/>
                      <w:szCs w:val="24"/>
                    </w:rPr>
                    <w:t>Oral Argument:</w:t>
                  </w:r>
                </w:p>
              </w:tc>
              <w:tc>
                <w:tcPr>
                  <w:tcW w:w="0" w:type="auto"/>
                  <w:tcMar>
                    <w:top w:w="0" w:type="dxa"/>
                    <w:left w:w="150" w:type="dxa"/>
                    <w:bottom w:w="0" w:type="dxa"/>
                    <w:right w:w="0" w:type="dxa"/>
                  </w:tcMar>
                </w:tcPr>
                <w:p w:rsidR="004352E3" w:rsidRPr="004352E3" w:rsidRDefault="004352E3">
                  <w:pPr>
                    <w:rPr>
                      <w:rFonts w:ascii="Verdana" w:hAnsi="Verdana" w:cs="Arial"/>
                      <w:szCs w:val="24"/>
                    </w:rPr>
                  </w:pPr>
                  <w:r w:rsidRPr="004352E3">
                    <w:rPr>
                      <w:rFonts w:ascii="Verdana" w:hAnsi="Verdana" w:cs="Arial"/>
                      <w:szCs w:val="24"/>
                    </w:rPr>
                    <w:t>December 10, 1952</w:t>
                  </w:r>
                </w:p>
              </w:tc>
            </w:tr>
            <w:tr w:rsidR="004352E3" w:rsidRPr="004352E3">
              <w:trPr>
                <w:tblCellSpacing w:w="15" w:type="dxa"/>
              </w:trPr>
              <w:tc>
                <w:tcPr>
                  <w:tcW w:w="0" w:type="auto"/>
                </w:tcPr>
                <w:p w:rsidR="004352E3" w:rsidRPr="004352E3" w:rsidRDefault="004352E3">
                  <w:pPr>
                    <w:rPr>
                      <w:rFonts w:ascii="Verdana" w:hAnsi="Verdana" w:cs="Arial"/>
                      <w:b/>
                      <w:bCs/>
                      <w:szCs w:val="24"/>
                    </w:rPr>
                  </w:pPr>
                  <w:r w:rsidRPr="004352E3">
                    <w:rPr>
                      <w:rFonts w:ascii="Verdana" w:hAnsi="Verdana" w:cs="Arial"/>
                      <w:b/>
                      <w:bCs/>
                      <w:szCs w:val="24"/>
                    </w:rPr>
                    <w:t>Oral Argument:</w:t>
                  </w:r>
                </w:p>
              </w:tc>
              <w:tc>
                <w:tcPr>
                  <w:tcW w:w="0" w:type="auto"/>
                  <w:tcMar>
                    <w:top w:w="0" w:type="dxa"/>
                    <w:left w:w="150" w:type="dxa"/>
                    <w:bottom w:w="0" w:type="dxa"/>
                    <w:right w:w="0" w:type="dxa"/>
                  </w:tcMar>
                </w:tcPr>
                <w:p w:rsidR="004352E3" w:rsidRPr="004352E3" w:rsidRDefault="004352E3">
                  <w:pPr>
                    <w:rPr>
                      <w:rFonts w:ascii="Verdana" w:hAnsi="Verdana" w:cs="Arial"/>
                      <w:szCs w:val="24"/>
                    </w:rPr>
                  </w:pPr>
                  <w:r w:rsidRPr="004352E3">
                    <w:rPr>
                      <w:rFonts w:ascii="Verdana" w:hAnsi="Verdana" w:cs="Arial"/>
                      <w:szCs w:val="24"/>
                    </w:rPr>
                    <w:t>December 11, 1952</w:t>
                  </w:r>
                </w:p>
              </w:tc>
            </w:tr>
            <w:tr w:rsidR="004352E3" w:rsidRPr="004352E3">
              <w:trPr>
                <w:tblCellSpacing w:w="15" w:type="dxa"/>
              </w:trPr>
              <w:tc>
                <w:tcPr>
                  <w:tcW w:w="0" w:type="auto"/>
                </w:tcPr>
                <w:p w:rsidR="004352E3" w:rsidRPr="004352E3" w:rsidRDefault="004352E3">
                  <w:pPr>
                    <w:rPr>
                      <w:rFonts w:ascii="Verdana" w:hAnsi="Verdana" w:cs="Arial"/>
                      <w:b/>
                      <w:bCs/>
                      <w:szCs w:val="24"/>
                    </w:rPr>
                  </w:pPr>
                  <w:r w:rsidRPr="004352E3">
                    <w:rPr>
                      <w:rFonts w:ascii="Verdana" w:hAnsi="Verdana" w:cs="Arial"/>
                      <w:b/>
                      <w:bCs/>
                      <w:szCs w:val="24"/>
                    </w:rPr>
                    <w:t xml:space="preserve">Oral </w:t>
                  </w:r>
                  <w:proofErr w:type="spellStart"/>
                  <w:r w:rsidRPr="004352E3">
                    <w:rPr>
                      <w:rFonts w:ascii="Verdana" w:hAnsi="Verdana" w:cs="Arial"/>
                      <w:b/>
                      <w:bCs/>
                      <w:szCs w:val="24"/>
                    </w:rPr>
                    <w:t>Reargument</w:t>
                  </w:r>
                  <w:proofErr w:type="spellEnd"/>
                  <w:r w:rsidRPr="004352E3">
                    <w:rPr>
                      <w:rFonts w:ascii="Verdana" w:hAnsi="Verdana" w:cs="Arial"/>
                      <w:b/>
                      <w:bCs/>
                      <w:szCs w:val="24"/>
                    </w:rPr>
                    <w:t>:</w:t>
                  </w:r>
                </w:p>
              </w:tc>
              <w:tc>
                <w:tcPr>
                  <w:tcW w:w="0" w:type="auto"/>
                  <w:tcMar>
                    <w:top w:w="0" w:type="dxa"/>
                    <w:left w:w="150" w:type="dxa"/>
                    <w:bottom w:w="0" w:type="dxa"/>
                    <w:right w:w="0" w:type="dxa"/>
                  </w:tcMar>
                </w:tcPr>
                <w:p w:rsidR="004352E3" w:rsidRPr="004352E3" w:rsidRDefault="004352E3">
                  <w:pPr>
                    <w:rPr>
                      <w:rFonts w:ascii="Verdana" w:hAnsi="Verdana" w:cs="Arial"/>
                      <w:szCs w:val="24"/>
                    </w:rPr>
                  </w:pPr>
                  <w:r w:rsidRPr="004352E3">
                    <w:rPr>
                      <w:rFonts w:ascii="Verdana" w:hAnsi="Verdana" w:cs="Arial"/>
                      <w:szCs w:val="24"/>
                    </w:rPr>
                    <w:t>December 7, 1953</w:t>
                  </w:r>
                </w:p>
              </w:tc>
            </w:tr>
            <w:tr w:rsidR="004352E3" w:rsidRPr="004352E3">
              <w:trPr>
                <w:tblCellSpacing w:w="15" w:type="dxa"/>
              </w:trPr>
              <w:tc>
                <w:tcPr>
                  <w:tcW w:w="0" w:type="auto"/>
                </w:tcPr>
                <w:p w:rsidR="004352E3" w:rsidRPr="004352E3" w:rsidRDefault="004352E3">
                  <w:pPr>
                    <w:rPr>
                      <w:rFonts w:ascii="Verdana" w:hAnsi="Verdana" w:cs="Arial"/>
                      <w:b/>
                      <w:bCs/>
                      <w:szCs w:val="24"/>
                    </w:rPr>
                  </w:pPr>
                  <w:r w:rsidRPr="004352E3">
                    <w:rPr>
                      <w:rFonts w:ascii="Verdana" w:hAnsi="Verdana" w:cs="Arial"/>
                      <w:b/>
                      <w:bCs/>
                      <w:szCs w:val="24"/>
                    </w:rPr>
                    <w:t xml:space="preserve">Oral </w:t>
                  </w:r>
                  <w:proofErr w:type="spellStart"/>
                  <w:r w:rsidRPr="004352E3">
                    <w:rPr>
                      <w:rFonts w:ascii="Verdana" w:hAnsi="Verdana" w:cs="Arial"/>
                      <w:b/>
                      <w:bCs/>
                      <w:szCs w:val="24"/>
                    </w:rPr>
                    <w:t>Reargument</w:t>
                  </w:r>
                  <w:proofErr w:type="spellEnd"/>
                  <w:r w:rsidRPr="004352E3">
                    <w:rPr>
                      <w:rFonts w:ascii="Verdana" w:hAnsi="Verdana" w:cs="Arial"/>
                      <w:b/>
                      <w:bCs/>
                      <w:szCs w:val="24"/>
                    </w:rPr>
                    <w:t>:</w:t>
                  </w:r>
                </w:p>
              </w:tc>
              <w:tc>
                <w:tcPr>
                  <w:tcW w:w="0" w:type="auto"/>
                  <w:tcMar>
                    <w:top w:w="0" w:type="dxa"/>
                    <w:left w:w="150" w:type="dxa"/>
                    <w:bottom w:w="0" w:type="dxa"/>
                    <w:right w:w="0" w:type="dxa"/>
                  </w:tcMar>
                </w:tcPr>
                <w:p w:rsidR="004352E3" w:rsidRPr="004352E3" w:rsidRDefault="004352E3">
                  <w:pPr>
                    <w:rPr>
                      <w:rFonts w:ascii="Verdana" w:hAnsi="Verdana" w:cs="Arial"/>
                      <w:szCs w:val="24"/>
                    </w:rPr>
                  </w:pPr>
                  <w:r w:rsidRPr="004352E3">
                    <w:rPr>
                      <w:rFonts w:ascii="Verdana" w:hAnsi="Verdana" w:cs="Arial"/>
                      <w:szCs w:val="24"/>
                    </w:rPr>
                    <w:t>December 8, 1953</w:t>
                  </w:r>
                </w:p>
              </w:tc>
            </w:tr>
            <w:tr w:rsidR="004352E3" w:rsidRPr="004352E3">
              <w:trPr>
                <w:tblCellSpacing w:w="15" w:type="dxa"/>
              </w:trPr>
              <w:tc>
                <w:tcPr>
                  <w:tcW w:w="0" w:type="auto"/>
                </w:tcPr>
                <w:p w:rsidR="004352E3" w:rsidRPr="004352E3" w:rsidRDefault="004352E3">
                  <w:pPr>
                    <w:rPr>
                      <w:rFonts w:ascii="Verdana" w:hAnsi="Verdana" w:cs="Arial"/>
                      <w:b/>
                      <w:bCs/>
                      <w:szCs w:val="24"/>
                    </w:rPr>
                  </w:pPr>
                  <w:r w:rsidRPr="004352E3">
                    <w:rPr>
                      <w:rFonts w:ascii="Verdana" w:hAnsi="Verdana" w:cs="Arial"/>
                      <w:b/>
                      <w:bCs/>
                      <w:szCs w:val="24"/>
                    </w:rPr>
                    <w:t xml:space="preserve">Oral </w:t>
                  </w:r>
                  <w:proofErr w:type="spellStart"/>
                  <w:r w:rsidRPr="004352E3">
                    <w:rPr>
                      <w:rFonts w:ascii="Verdana" w:hAnsi="Verdana" w:cs="Arial"/>
                      <w:b/>
                      <w:bCs/>
                      <w:szCs w:val="24"/>
                    </w:rPr>
                    <w:t>Reargument</w:t>
                  </w:r>
                  <w:proofErr w:type="spellEnd"/>
                  <w:r w:rsidRPr="004352E3">
                    <w:rPr>
                      <w:rFonts w:ascii="Verdana" w:hAnsi="Verdana" w:cs="Arial"/>
                      <w:b/>
                      <w:bCs/>
                      <w:szCs w:val="24"/>
                    </w:rPr>
                    <w:t>:</w:t>
                  </w:r>
                </w:p>
              </w:tc>
              <w:tc>
                <w:tcPr>
                  <w:tcW w:w="0" w:type="auto"/>
                  <w:tcMar>
                    <w:top w:w="0" w:type="dxa"/>
                    <w:left w:w="150" w:type="dxa"/>
                    <w:bottom w:w="0" w:type="dxa"/>
                    <w:right w:w="0" w:type="dxa"/>
                  </w:tcMar>
                </w:tcPr>
                <w:p w:rsidR="004352E3" w:rsidRPr="004352E3" w:rsidRDefault="004352E3">
                  <w:pPr>
                    <w:rPr>
                      <w:rFonts w:ascii="Verdana" w:hAnsi="Verdana" w:cs="Arial"/>
                      <w:szCs w:val="24"/>
                    </w:rPr>
                  </w:pPr>
                  <w:r w:rsidRPr="004352E3">
                    <w:rPr>
                      <w:rFonts w:ascii="Verdana" w:hAnsi="Verdana" w:cs="Arial"/>
                      <w:szCs w:val="24"/>
                    </w:rPr>
                    <w:t>December 9, 1953</w:t>
                  </w:r>
                </w:p>
              </w:tc>
            </w:tr>
            <w:tr w:rsidR="004352E3" w:rsidRPr="004352E3">
              <w:trPr>
                <w:tblCellSpacing w:w="15" w:type="dxa"/>
              </w:trPr>
              <w:tc>
                <w:tcPr>
                  <w:tcW w:w="0" w:type="auto"/>
                </w:tcPr>
                <w:p w:rsidR="004352E3" w:rsidRPr="004352E3" w:rsidRDefault="004352E3">
                  <w:pPr>
                    <w:rPr>
                      <w:rFonts w:ascii="Verdana" w:hAnsi="Verdana" w:cs="Arial"/>
                      <w:b/>
                      <w:bCs/>
                      <w:szCs w:val="24"/>
                    </w:rPr>
                  </w:pPr>
                  <w:r w:rsidRPr="004352E3">
                    <w:rPr>
                      <w:rFonts w:ascii="Verdana" w:hAnsi="Verdana" w:cs="Arial"/>
                      <w:b/>
                      <w:bCs/>
                      <w:szCs w:val="24"/>
                    </w:rPr>
                    <w:t>Decision:</w:t>
                  </w:r>
                </w:p>
              </w:tc>
              <w:tc>
                <w:tcPr>
                  <w:tcW w:w="0" w:type="auto"/>
                  <w:tcMar>
                    <w:top w:w="0" w:type="dxa"/>
                    <w:left w:w="150" w:type="dxa"/>
                    <w:bottom w:w="0" w:type="dxa"/>
                    <w:right w:w="0" w:type="dxa"/>
                  </w:tcMar>
                </w:tcPr>
                <w:p w:rsidR="004352E3" w:rsidRPr="004352E3" w:rsidRDefault="004352E3">
                  <w:pPr>
                    <w:rPr>
                      <w:rFonts w:ascii="Verdana" w:hAnsi="Verdana" w:cs="Arial"/>
                      <w:szCs w:val="24"/>
                    </w:rPr>
                  </w:pPr>
                  <w:r w:rsidRPr="004352E3">
                    <w:rPr>
                      <w:rFonts w:ascii="Verdana" w:hAnsi="Verdana" w:cs="Arial"/>
                      <w:szCs w:val="24"/>
                    </w:rPr>
                    <w:t>May 17, 1954</w:t>
                  </w:r>
                </w:p>
              </w:tc>
            </w:tr>
            <w:tr w:rsidR="004352E3" w:rsidRPr="004352E3">
              <w:trPr>
                <w:tblCellSpacing w:w="15" w:type="dxa"/>
              </w:trPr>
              <w:tc>
                <w:tcPr>
                  <w:tcW w:w="0" w:type="auto"/>
                </w:tcPr>
                <w:p w:rsidR="004352E3" w:rsidRPr="004352E3" w:rsidRDefault="004352E3">
                  <w:pPr>
                    <w:rPr>
                      <w:rFonts w:ascii="Verdana" w:hAnsi="Verdana" w:cs="Arial"/>
                      <w:b/>
                      <w:bCs/>
                      <w:szCs w:val="24"/>
                    </w:rPr>
                  </w:pPr>
                  <w:r w:rsidRPr="004352E3">
                    <w:rPr>
                      <w:rFonts w:ascii="Verdana" w:hAnsi="Verdana" w:cs="Arial"/>
                      <w:b/>
                      <w:bCs/>
                      <w:szCs w:val="24"/>
                    </w:rPr>
                    <w:t>Subjects:</w:t>
                  </w:r>
                </w:p>
              </w:tc>
              <w:tc>
                <w:tcPr>
                  <w:tcW w:w="0" w:type="auto"/>
                  <w:tcMar>
                    <w:top w:w="0" w:type="dxa"/>
                    <w:left w:w="150" w:type="dxa"/>
                    <w:bottom w:w="0" w:type="dxa"/>
                    <w:right w:w="0" w:type="dxa"/>
                  </w:tcMar>
                </w:tcPr>
                <w:p w:rsidR="004352E3" w:rsidRPr="004352E3" w:rsidRDefault="004352E3">
                  <w:pPr>
                    <w:rPr>
                      <w:rFonts w:ascii="Verdana" w:hAnsi="Verdana" w:cs="Arial"/>
                      <w:szCs w:val="24"/>
                    </w:rPr>
                  </w:pPr>
                  <w:r w:rsidRPr="004352E3">
                    <w:rPr>
                      <w:rFonts w:ascii="Verdana" w:hAnsi="Verdana" w:cs="Arial"/>
                      <w:szCs w:val="24"/>
                    </w:rPr>
                    <w:t>Civil Rights, Desegregation, Schools</w:t>
                  </w:r>
                </w:p>
              </w:tc>
            </w:tr>
          </w:tbl>
          <w:p w:rsidR="004352E3" w:rsidRPr="004352E3" w:rsidRDefault="004352E3">
            <w:pPr>
              <w:rPr>
                <w:rFonts w:ascii="Verdana" w:hAnsi="Verdana" w:cs="Arial"/>
                <w:szCs w:val="24"/>
              </w:rPr>
            </w:pPr>
          </w:p>
        </w:tc>
        <w:tc>
          <w:tcPr>
            <w:tcW w:w="0" w:type="auto"/>
            <w:tcMar>
              <w:top w:w="0" w:type="dxa"/>
              <w:left w:w="0" w:type="dxa"/>
              <w:bottom w:w="0" w:type="dxa"/>
              <w:right w:w="0" w:type="dxa"/>
            </w:tcMar>
          </w:tcPr>
          <w:p w:rsidR="004352E3" w:rsidRPr="004352E3" w:rsidRDefault="004352E3">
            <w:pPr>
              <w:pStyle w:val="section-title"/>
              <w:rPr>
                <w:rFonts w:ascii="Verdana" w:hAnsi="Verdana" w:cs="Arial"/>
              </w:rPr>
            </w:pPr>
            <w:r w:rsidRPr="004352E3">
              <w:rPr>
                <w:rFonts w:ascii="Verdana" w:hAnsi="Verdana" w:cs="Arial"/>
              </w:rPr>
              <w:t>Advocates</w:t>
            </w:r>
          </w:p>
          <w:tbl>
            <w:tblPr>
              <w:tblW w:w="0" w:type="auto"/>
              <w:tblCellSpacing w:w="15" w:type="dxa"/>
              <w:tblCellMar>
                <w:left w:w="0" w:type="dxa"/>
                <w:right w:w="0" w:type="dxa"/>
              </w:tblCellMar>
              <w:tblLook w:val="0000" w:firstRow="0" w:lastRow="0" w:firstColumn="0" w:lastColumn="0" w:noHBand="0" w:noVBand="0"/>
            </w:tblPr>
            <w:tblGrid>
              <w:gridCol w:w="66"/>
            </w:tblGrid>
            <w:tr w:rsidR="004352E3" w:rsidRPr="004352E3">
              <w:trPr>
                <w:tblCellSpacing w:w="15" w:type="dxa"/>
              </w:trPr>
              <w:tc>
                <w:tcPr>
                  <w:tcW w:w="0" w:type="auto"/>
                </w:tcPr>
                <w:p w:rsidR="004352E3" w:rsidRPr="004352E3" w:rsidRDefault="004352E3">
                  <w:pPr>
                    <w:rPr>
                      <w:rFonts w:ascii="Verdana" w:hAnsi="Verdana" w:cs="Arial"/>
                      <w:szCs w:val="24"/>
                    </w:rPr>
                  </w:pPr>
                </w:p>
              </w:tc>
            </w:tr>
          </w:tbl>
          <w:p w:rsidR="004352E3" w:rsidRPr="004352E3" w:rsidRDefault="004352E3">
            <w:pPr>
              <w:rPr>
                <w:rFonts w:ascii="Verdana" w:hAnsi="Verdana" w:cs="Arial"/>
                <w:szCs w:val="24"/>
              </w:rPr>
            </w:pPr>
          </w:p>
        </w:tc>
      </w:tr>
    </w:tbl>
    <w:p w:rsidR="004352E3" w:rsidRPr="004352E3" w:rsidRDefault="004352E3" w:rsidP="004352E3">
      <w:pPr>
        <w:pStyle w:val="case-abstract-title"/>
        <w:shd w:val="clear" w:color="auto" w:fill="FFFFFF"/>
        <w:rPr>
          <w:rFonts w:ascii="Verdana" w:hAnsi="Verdana" w:cs="Arial"/>
          <w:sz w:val="24"/>
          <w:szCs w:val="24"/>
        </w:rPr>
      </w:pPr>
      <w:r w:rsidRPr="004352E3">
        <w:rPr>
          <w:rFonts w:ascii="Verdana" w:hAnsi="Verdana" w:cs="Arial"/>
          <w:sz w:val="24"/>
          <w:szCs w:val="24"/>
        </w:rPr>
        <w:t>Facts of the Case</w:t>
      </w:r>
    </w:p>
    <w:p w:rsidR="004352E3" w:rsidRPr="004352E3" w:rsidRDefault="004352E3" w:rsidP="004352E3">
      <w:pPr>
        <w:pStyle w:val="case-abstract-contents"/>
        <w:shd w:val="clear" w:color="auto" w:fill="FFFFFF"/>
        <w:rPr>
          <w:rFonts w:ascii="Verdana" w:hAnsi="Verdana" w:cs="Arial"/>
        </w:rPr>
      </w:pPr>
      <w:r w:rsidRPr="004352E3">
        <w:rPr>
          <w:rFonts w:ascii="Verdana" w:hAnsi="Verdana" w:cs="Arial"/>
        </w:rPr>
        <w:t xml:space="preserve">Black children were denied admission to public schools attended by white children under laws requiring or permitting segregation according to the races. The white and black schools approached equality in terms of buildings, curricula, qualifications, and teacher salaries. This case was decided together with Briggs v. Elliott and Davis v. </w:t>
      </w:r>
      <w:smartTag w:uri="urn:schemas-microsoft-com:office:smarttags" w:element="PlaceType">
        <w:r w:rsidRPr="004352E3">
          <w:rPr>
            <w:rFonts w:ascii="Verdana" w:hAnsi="Verdana" w:cs="Arial"/>
          </w:rPr>
          <w:t>County</w:t>
        </w:r>
      </w:smartTag>
      <w:r w:rsidRPr="004352E3">
        <w:rPr>
          <w:rFonts w:ascii="Verdana" w:hAnsi="Verdana" w:cs="Arial"/>
        </w:rPr>
        <w:t xml:space="preserve"> </w:t>
      </w:r>
      <w:smartTag w:uri="urn:schemas-microsoft-com:office:smarttags" w:element="PlaceName">
        <w:r w:rsidRPr="004352E3">
          <w:rPr>
            <w:rFonts w:ascii="Verdana" w:hAnsi="Verdana" w:cs="Arial"/>
          </w:rPr>
          <w:t>School Board</w:t>
        </w:r>
      </w:smartTag>
      <w:r w:rsidRPr="004352E3">
        <w:rPr>
          <w:rFonts w:ascii="Verdana" w:hAnsi="Verdana" w:cs="Arial"/>
        </w:rPr>
        <w:t xml:space="preserve"> of </w:t>
      </w:r>
      <w:smartTag w:uri="urn:schemas-microsoft-com:office:smarttags" w:element="place">
        <w:smartTag w:uri="urn:schemas-microsoft-com:office:smarttags" w:element="PlaceName">
          <w:r w:rsidRPr="004352E3">
            <w:rPr>
              <w:rFonts w:ascii="Verdana" w:hAnsi="Verdana" w:cs="Arial"/>
            </w:rPr>
            <w:t>Prince</w:t>
          </w:r>
        </w:smartTag>
        <w:r w:rsidRPr="004352E3">
          <w:rPr>
            <w:rFonts w:ascii="Verdana" w:hAnsi="Verdana" w:cs="Arial"/>
          </w:rPr>
          <w:t xml:space="preserve"> </w:t>
        </w:r>
        <w:smartTag w:uri="urn:schemas-microsoft-com:office:smarttags" w:element="PlaceName">
          <w:r w:rsidRPr="004352E3">
            <w:rPr>
              <w:rFonts w:ascii="Verdana" w:hAnsi="Verdana" w:cs="Arial"/>
            </w:rPr>
            <w:t>Edward</w:t>
          </w:r>
        </w:smartTag>
        <w:r w:rsidRPr="004352E3">
          <w:rPr>
            <w:rFonts w:ascii="Verdana" w:hAnsi="Verdana" w:cs="Arial"/>
          </w:rPr>
          <w:t xml:space="preserve"> </w:t>
        </w:r>
        <w:smartTag w:uri="urn:schemas-microsoft-com:office:smarttags" w:element="PlaceName">
          <w:r w:rsidRPr="004352E3">
            <w:rPr>
              <w:rFonts w:ascii="Verdana" w:hAnsi="Verdana" w:cs="Arial"/>
            </w:rPr>
            <w:t>County</w:t>
          </w:r>
        </w:smartTag>
      </w:smartTag>
      <w:r w:rsidRPr="004352E3">
        <w:rPr>
          <w:rFonts w:ascii="Verdana" w:hAnsi="Verdana" w:cs="Arial"/>
        </w:rPr>
        <w:t>.</w:t>
      </w:r>
    </w:p>
    <w:p w:rsidR="004352E3" w:rsidRPr="004352E3" w:rsidRDefault="004352E3" w:rsidP="004352E3">
      <w:pPr>
        <w:pStyle w:val="case-abstract-title"/>
        <w:shd w:val="clear" w:color="auto" w:fill="FFFFFF"/>
        <w:rPr>
          <w:rFonts w:ascii="Verdana" w:hAnsi="Verdana" w:cs="Arial"/>
          <w:sz w:val="24"/>
          <w:szCs w:val="24"/>
        </w:rPr>
      </w:pPr>
      <w:r w:rsidRPr="004352E3">
        <w:rPr>
          <w:rFonts w:ascii="Verdana" w:hAnsi="Verdana" w:cs="Arial"/>
          <w:sz w:val="24"/>
          <w:szCs w:val="24"/>
        </w:rPr>
        <w:t>Question</w:t>
      </w:r>
    </w:p>
    <w:p w:rsidR="004352E3" w:rsidRPr="004352E3" w:rsidRDefault="004352E3" w:rsidP="004352E3">
      <w:pPr>
        <w:pStyle w:val="case-abstract-contents"/>
        <w:shd w:val="clear" w:color="auto" w:fill="FFFFFF"/>
        <w:rPr>
          <w:rFonts w:ascii="Verdana" w:hAnsi="Verdana" w:cs="Arial"/>
        </w:rPr>
      </w:pPr>
      <w:r w:rsidRPr="004352E3">
        <w:rPr>
          <w:rFonts w:ascii="Verdana" w:hAnsi="Verdana" w:cs="Arial"/>
        </w:rPr>
        <w:t>Does the segregation of children in public schools solely on the basis of race deprive the minority children of the equal protection of the laws guaranteed by the 14th Amendment?</w:t>
      </w:r>
    </w:p>
    <w:p w:rsidR="004352E3" w:rsidRPr="004352E3" w:rsidRDefault="004352E3" w:rsidP="004352E3">
      <w:pPr>
        <w:pStyle w:val="case-abstract-title"/>
        <w:shd w:val="clear" w:color="auto" w:fill="FFFFFF"/>
        <w:rPr>
          <w:rFonts w:ascii="Verdana" w:hAnsi="Verdana" w:cs="Arial"/>
          <w:sz w:val="24"/>
          <w:szCs w:val="24"/>
        </w:rPr>
      </w:pPr>
      <w:r w:rsidRPr="004352E3">
        <w:rPr>
          <w:rFonts w:ascii="Verdana" w:hAnsi="Verdana" w:cs="Arial"/>
          <w:sz w:val="24"/>
          <w:szCs w:val="24"/>
        </w:rPr>
        <w:t>Conclusion</w:t>
      </w:r>
    </w:p>
    <w:p w:rsidR="004352E3" w:rsidRPr="004352E3" w:rsidRDefault="004352E3" w:rsidP="004352E3">
      <w:pPr>
        <w:pStyle w:val="case-abstract-contents"/>
        <w:shd w:val="clear" w:color="auto" w:fill="FFFFFF"/>
        <w:rPr>
          <w:rFonts w:ascii="Verdana" w:hAnsi="Verdana" w:cs="Arial"/>
        </w:rPr>
      </w:pPr>
      <w:r w:rsidRPr="004352E3">
        <w:rPr>
          <w:rFonts w:ascii="Verdana" w:hAnsi="Verdana" w:cs="Arial"/>
        </w:rPr>
        <w:t>Yes. Despite the equalization of the schools by "objective" factors, intangible issues foster and maintain inequality. Racial segregation in public education has a detrimental effect on minority children because it is interpreted as a sign of inferiority. The long-held doctrine that separate facilities were permissible provided they were equal was rejected. Separate but equal is inherently unequal in the context of public education. The unanimous opinion sounded the death-knell for all forms of state-maintained racial separation.</w:t>
      </w:r>
    </w:p>
    <w:p w:rsidR="00F379E5" w:rsidRDefault="00F379E5" w:rsidP="00F379E5">
      <w:pPr>
        <w:pStyle w:val="Heading1"/>
      </w:pPr>
      <w:r>
        <w:br w:type="page"/>
      </w:r>
      <w:r>
        <w:lastRenderedPageBreak/>
        <w:t>Baker v. Carr</w:t>
      </w:r>
    </w:p>
    <w:p w:rsidR="00F379E5" w:rsidRDefault="00F379E5" w:rsidP="00F379E5">
      <w:pPr>
        <w:pStyle w:val="Heading2"/>
      </w:pPr>
      <w:r>
        <w:t xml:space="preserve">369 </w:t>
      </w:r>
      <w:smartTag w:uri="urn:schemas-microsoft-com:office:smarttags" w:element="country-region">
        <w:smartTag w:uri="urn:schemas-microsoft-com:office:smarttags" w:element="place">
          <w:r>
            <w:t>U.S.</w:t>
          </w:r>
        </w:smartTag>
      </w:smartTag>
      <w:r>
        <w:t xml:space="preserve"> 186 (1962) </w:t>
      </w:r>
    </w:p>
    <w:p w:rsidR="00F379E5" w:rsidRDefault="00F379E5" w:rsidP="00F379E5">
      <w:pPr>
        <w:pStyle w:val="Heading3"/>
      </w:pPr>
      <w:r>
        <w:t>Docket Number: 6</w:t>
      </w:r>
    </w:p>
    <w:p w:rsidR="00F379E5" w:rsidRDefault="00F379E5" w:rsidP="00F379E5">
      <w:pPr>
        <w:pStyle w:val="Heading3"/>
      </w:pPr>
      <w:r>
        <w:t>Abstract</w:t>
      </w:r>
    </w:p>
    <w:p w:rsidR="00F379E5" w:rsidRDefault="00F379E5" w:rsidP="00F379E5">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F379E5">
        <w:trPr>
          <w:tblCellSpacing w:w="0" w:type="dxa"/>
        </w:trPr>
        <w:tc>
          <w:tcPr>
            <w:tcW w:w="0" w:type="auto"/>
            <w:gridSpan w:val="10"/>
            <w:vAlign w:val="center"/>
          </w:tcPr>
          <w:p w:rsidR="00F379E5" w:rsidRDefault="0032080E">
            <w:pPr>
              <w:rPr>
                <w:szCs w:val="24"/>
              </w:rPr>
            </w:pPr>
            <w:r>
              <w:rPr>
                <w:noProof/>
              </w:rPr>
              <w:drawing>
                <wp:inline distT="0" distB="0" distL="0" distR="0">
                  <wp:extent cx="9525" cy="38100"/>
                  <wp:effectExtent l="0" t="0" r="0"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F379E5">
        <w:trPr>
          <w:tblCellSpacing w:w="0" w:type="dxa"/>
        </w:trPr>
        <w:tc>
          <w:tcPr>
            <w:tcW w:w="1000" w:type="pct"/>
          </w:tcPr>
          <w:p w:rsidR="00F379E5" w:rsidRDefault="00F379E5">
            <w:pPr>
              <w:pStyle w:val="List1"/>
            </w:pPr>
            <w:r>
              <w:t>Argued:</w:t>
            </w:r>
          </w:p>
        </w:tc>
        <w:tc>
          <w:tcPr>
            <w:tcW w:w="4000" w:type="pct"/>
          </w:tcPr>
          <w:p w:rsidR="00F379E5" w:rsidRDefault="00F379E5">
            <w:pPr>
              <w:pStyle w:val="List1"/>
            </w:pPr>
            <w:r>
              <w:t>April 19, 1961</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1000" w:type="pct"/>
          </w:tcPr>
          <w:p w:rsidR="00F379E5" w:rsidRDefault="00F379E5">
            <w:pPr>
              <w:pStyle w:val="List1"/>
            </w:pPr>
            <w:r>
              <w:t>Reargued:</w:t>
            </w:r>
          </w:p>
        </w:tc>
        <w:tc>
          <w:tcPr>
            <w:tcW w:w="4000" w:type="pct"/>
          </w:tcPr>
          <w:p w:rsidR="00F379E5" w:rsidRDefault="00F379E5">
            <w:pPr>
              <w:pStyle w:val="List1"/>
            </w:pPr>
            <w:r>
              <w:t>October 9, 1961</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1000" w:type="pct"/>
          </w:tcPr>
          <w:p w:rsidR="00F379E5" w:rsidRDefault="00F379E5">
            <w:pPr>
              <w:pStyle w:val="List1"/>
            </w:pPr>
            <w:r>
              <w:t>Decided:</w:t>
            </w:r>
          </w:p>
        </w:tc>
        <w:tc>
          <w:tcPr>
            <w:tcW w:w="4000" w:type="pct"/>
          </w:tcPr>
          <w:p w:rsidR="00F379E5" w:rsidRDefault="00F379E5">
            <w:pPr>
              <w:pStyle w:val="List1"/>
            </w:pPr>
            <w:r>
              <w:t>March 26, 1962</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0" w:type="auto"/>
            <w:vAlign w:val="center"/>
          </w:tcPr>
          <w:p w:rsidR="00F379E5" w:rsidRDefault="00F379E5">
            <w:pPr>
              <w:rPr>
                <w:szCs w:val="24"/>
              </w:rPr>
            </w:pPr>
            <w:r>
              <w:t> </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1000" w:type="pct"/>
          </w:tcPr>
          <w:p w:rsidR="00F379E5" w:rsidRDefault="00F379E5">
            <w:pPr>
              <w:pStyle w:val="Heading4"/>
            </w:pPr>
            <w:r>
              <w:t>Subjects:</w:t>
            </w:r>
          </w:p>
        </w:tc>
        <w:tc>
          <w:tcPr>
            <w:tcW w:w="4000" w:type="pct"/>
          </w:tcPr>
          <w:p w:rsidR="00F379E5" w:rsidRDefault="00F379E5">
            <w:pPr>
              <w:pStyle w:val="List1"/>
            </w:pPr>
            <w:r>
              <w:t>Judicial Power: Standing to Sue, Legal Injury</w:t>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14" name="Picture 14"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blCellSpacing w:w="0" w:type="dxa"/>
        </w:trPr>
        <w:tc>
          <w:tcPr>
            <w:tcW w:w="0" w:type="auto"/>
            <w:gridSpan w:val="2"/>
          </w:tcPr>
          <w:p w:rsidR="00F379E5" w:rsidRDefault="00F379E5">
            <w:pPr>
              <w:pStyle w:val="Heading4"/>
            </w:pPr>
            <w:r>
              <w:t xml:space="preserve">Facts of the Case </w:t>
            </w:r>
          </w:p>
          <w:p w:rsidR="00F379E5" w:rsidRDefault="00F379E5">
            <w:pPr>
              <w:pStyle w:val="NormalWeb"/>
            </w:pPr>
            <w:r>
              <w:t xml:space="preserve">Charles W. Baker and other </w:t>
            </w:r>
            <w:smartTag w:uri="urn:schemas-microsoft-com:office:smarttags" w:element="State">
              <w:smartTag w:uri="urn:schemas-microsoft-com:office:smarttags" w:element="place">
                <w:r>
                  <w:t>Tennessee</w:t>
                </w:r>
              </w:smartTag>
            </w:smartTag>
            <w:r>
              <w:t xml:space="preserve"> citizens alleged that a 1901 law designed to apportion the seats for the state's General Assembly was virtually ignored. Baker's suit detailed how </w:t>
            </w:r>
            <w:smartTag w:uri="urn:schemas-microsoft-com:office:smarttags" w:element="State">
              <w:smartTag w:uri="urn:schemas-microsoft-com:office:smarttags" w:element="place">
                <w:r>
                  <w:t>Tennessee</w:t>
                </w:r>
              </w:smartTag>
            </w:smartTag>
            <w:r>
              <w:t xml:space="preserve">'s reapportionment efforts ignored significant economic growth and population shifts within the state.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15" name="Picture 15"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rHeight w:val="405"/>
          <w:tblCellSpacing w:w="0" w:type="dxa"/>
        </w:trPr>
        <w:tc>
          <w:tcPr>
            <w:tcW w:w="0" w:type="auto"/>
            <w:gridSpan w:val="2"/>
          </w:tcPr>
          <w:p w:rsidR="00F379E5" w:rsidRDefault="00F379E5">
            <w:pPr>
              <w:pStyle w:val="Heading4"/>
            </w:pPr>
            <w:r>
              <w:t xml:space="preserve">Question Presented </w:t>
            </w:r>
          </w:p>
          <w:p w:rsidR="00F379E5" w:rsidRDefault="00F379E5">
            <w:pPr>
              <w:pStyle w:val="NormalWeb"/>
            </w:pPr>
            <w:r>
              <w:t xml:space="preserve">Did the Supreme Court have jurisdiction over questions of legislative apportionment?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r w:rsidR="00F379E5">
        <w:trPr>
          <w:tblCellSpacing w:w="0" w:type="dxa"/>
        </w:trPr>
        <w:tc>
          <w:tcPr>
            <w:tcW w:w="0" w:type="auto"/>
            <w:gridSpan w:val="2"/>
            <w:vAlign w:val="center"/>
          </w:tcPr>
          <w:p w:rsidR="00F379E5" w:rsidRDefault="0032080E">
            <w:pPr>
              <w:rPr>
                <w:szCs w:val="24"/>
              </w:rPr>
            </w:pPr>
            <w:r>
              <w:rPr>
                <w:noProof/>
              </w:rPr>
              <w:drawing>
                <wp:inline distT="0" distB="0" distL="0" distR="0">
                  <wp:extent cx="19050" cy="66675"/>
                  <wp:effectExtent l="0" t="0" r="0" b="0"/>
                  <wp:docPr id="16" name="Picture 16"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c>
          <w:tcPr>
            <w:tcW w:w="0" w:type="auto"/>
            <w:vAlign w:val="center"/>
          </w:tcPr>
          <w:p w:rsidR="00F379E5" w:rsidRDefault="00F379E5">
            <w:pPr>
              <w:rPr>
                <w:sz w:val="20"/>
              </w:rPr>
            </w:pPr>
          </w:p>
        </w:tc>
      </w:tr>
      <w:tr w:rsidR="00F379E5">
        <w:trPr>
          <w:trHeight w:val="1080"/>
          <w:tblCellSpacing w:w="0" w:type="dxa"/>
        </w:trPr>
        <w:tc>
          <w:tcPr>
            <w:tcW w:w="0" w:type="auto"/>
            <w:gridSpan w:val="2"/>
          </w:tcPr>
          <w:p w:rsidR="00F379E5" w:rsidRDefault="00F379E5">
            <w:pPr>
              <w:pStyle w:val="Heading4"/>
            </w:pPr>
            <w:r>
              <w:t xml:space="preserve">Conclusion </w:t>
            </w:r>
          </w:p>
          <w:p w:rsidR="00F379E5" w:rsidRDefault="00F379E5">
            <w:pPr>
              <w:pStyle w:val="NormalWeb"/>
            </w:pPr>
            <w:r>
              <w:t xml:space="preserve">In an opinion which explored the nature of "political questions" and the appropriateness of Court action in them, the Court held that there were no such questions to be answered in this case and that legislative apportionment was a justiciable issue. In his opinion, Justice Brennan provided past examples in which the Court had intervened to correct constitutional violations in matters pertaining to state administration and the officers through whom state affairs are conducted. Brennan concluded that the Fourteenth Amendment equal protection issues which Baker and others raised in this case merited judicial evaluation. </w:t>
            </w: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c>
          <w:tcPr>
            <w:tcW w:w="0" w:type="auto"/>
          </w:tcPr>
          <w:p w:rsidR="00F379E5" w:rsidRDefault="00F379E5">
            <w:pPr>
              <w:rPr>
                <w:sz w:val="20"/>
              </w:rPr>
            </w:pPr>
          </w:p>
        </w:tc>
      </w:tr>
    </w:tbl>
    <w:p w:rsidR="00F379E5" w:rsidRDefault="00F379E5"/>
    <w:p w:rsidR="00B37F08" w:rsidRDefault="00B37F08"/>
    <w:p w:rsidR="00B37F08" w:rsidRDefault="00B37F08"/>
    <w:p w:rsidR="00B37F08" w:rsidRDefault="00B37F08"/>
    <w:p w:rsidR="00B37F08" w:rsidRDefault="00B37F08"/>
    <w:p w:rsidR="00B37F08" w:rsidRDefault="00B37F08"/>
    <w:p w:rsidR="00B37F08" w:rsidRDefault="00B37F08"/>
    <w:p w:rsidR="00B37F08" w:rsidRDefault="00B37F08"/>
    <w:p w:rsidR="00B37F08" w:rsidRDefault="00B37F08"/>
    <w:p w:rsidR="00B37F08" w:rsidRDefault="00B37F08" w:rsidP="00B37F08">
      <w:pPr>
        <w:pStyle w:val="Heading1"/>
      </w:pPr>
      <w:r>
        <w:lastRenderedPageBreak/>
        <w:t>Reynolds v. Sims</w:t>
      </w:r>
    </w:p>
    <w:p w:rsidR="00B37F08" w:rsidRDefault="00B37F08" w:rsidP="00B37F08">
      <w:pPr>
        <w:pStyle w:val="Heading2"/>
      </w:pPr>
      <w:r>
        <w:t xml:space="preserve">377 </w:t>
      </w:r>
      <w:smartTag w:uri="urn:schemas-microsoft-com:office:smarttags" w:element="country-region">
        <w:smartTag w:uri="urn:schemas-microsoft-com:office:smarttags" w:element="place">
          <w:r>
            <w:t>U.S.</w:t>
          </w:r>
        </w:smartTag>
      </w:smartTag>
      <w:r>
        <w:t xml:space="preserve"> 533 (1964) </w:t>
      </w:r>
    </w:p>
    <w:p w:rsidR="00B37F08" w:rsidRDefault="00B37F08" w:rsidP="00B37F08">
      <w:pPr>
        <w:pStyle w:val="Heading3"/>
      </w:pPr>
      <w:r>
        <w:t>Docket Number: 23</w:t>
      </w:r>
    </w:p>
    <w:p w:rsidR="00B37F08" w:rsidRDefault="00B37F08" w:rsidP="00B37F08">
      <w:pPr>
        <w:pStyle w:val="Heading3"/>
      </w:pPr>
      <w:r>
        <w:t>Abstract</w:t>
      </w:r>
    </w:p>
    <w:p w:rsidR="00B37F08" w:rsidRDefault="00B37F08" w:rsidP="00B37F08">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B37F08">
        <w:trPr>
          <w:tblCellSpacing w:w="0" w:type="dxa"/>
        </w:trPr>
        <w:tc>
          <w:tcPr>
            <w:tcW w:w="0" w:type="auto"/>
            <w:gridSpan w:val="10"/>
            <w:vAlign w:val="center"/>
          </w:tcPr>
          <w:p w:rsidR="00B37F08" w:rsidRDefault="0032080E">
            <w:pPr>
              <w:rPr>
                <w:szCs w:val="24"/>
              </w:rPr>
            </w:pPr>
            <w:r>
              <w:rPr>
                <w:noProof/>
              </w:rPr>
              <w:drawing>
                <wp:inline distT="0" distB="0" distL="0" distR="0">
                  <wp:extent cx="9525" cy="38100"/>
                  <wp:effectExtent l="0" t="0" r="0" b="0"/>
                  <wp:docPr id="17" name="Pictur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B37F08">
        <w:trPr>
          <w:tblCellSpacing w:w="0" w:type="dxa"/>
        </w:trPr>
        <w:tc>
          <w:tcPr>
            <w:tcW w:w="1000" w:type="pct"/>
          </w:tcPr>
          <w:p w:rsidR="00B37F08" w:rsidRDefault="00B37F08">
            <w:pPr>
              <w:pStyle w:val="List1"/>
            </w:pPr>
            <w:r>
              <w:t>Decided:</w:t>
            </w:r>
          </w:p>
        </w:tc>
        <w:tc>
          <w:tcPr>
            <w:tcW w:w="4000" w:type="pct"/>
          </w:tcPr>
          <w:p w:rsidR="00B37F08" w:rsidRDefault="00B37F08">
            <w:pPr>
              <w:pStyle w:val="List1"/>
            </w:pPr>
            <w:r>
              <w:t>June 15, 1964</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1000" w:type="pct"/>
          </w:tcPr>
          <w:p w:rsidR="00B37F08" w:rsidRDefault="00B37F08">
            <w:pPr>
              <w:pStyle w:val="List1"/>
            </w:pPr>
            <w:r>
              <w:t>Argued:</w:t>
            </w:r>
          </w:p>
        </w:tc>
        <w:tc>
          <w:tcPr>
            <w:tcW w:w="4000" w:type="pct"/>
          </w:tcPr>
          <w:p w:rsidR="00B37F08" w:rsidRDefault="00B37F08">
            <w:pPr>
              <w:pStyle w:val="List1"/>
            </w:pPr>
            <w:r>
              <w:t>November 13, 1963</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vAlign w:val="center"/>
          </w:tcPr>
          <w:p w:rsidR="00B37F08" w:rsidRDefault="00B37F08">
            <w:pPr>
              <w:rPr>
                <w:szCs w:val="24"/>
              </w:rPr>
            </w:pPr>
            <w:r>
              <w:t> </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1000" w:type="pct"/>
          </w:tcPr>
          <w:p w:rsidR="00B37F08" w:rsidRDefault="00B37F08">
            <w:pPr>
              <w:pStyle w:val="Heading4"/>
            </w:pPr>
            <w:r>
              <w:t>Subjects:</w:t>
            </w:r>
          </w:p>
        </w:tc>
        <w:tc>
          <w:tcPr>
            <w:tcW w:w="4000" w:type="pct"/>
          </w:tcPr>
          <w:p w:rsidR="00B37F08" w:rsidRDefault="00B37F08">
            <w:pPr>
              <w:pStyle w:val="List1"/>
            </w:pPr>
            <w:r>
              <w:t>Judicial Power: Standing to Sue, Justiciable Question</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18" name="Picture 18"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gridSpan w:val="2"/>
          </w:tcPr>
          <w:p w:rsidR="00B37F08" w:rsidRDefault="00B37F08">
            <w:pPr>
              <w:pStyle w:val="Heading4"/>
            </w:pPr>
            <w:r>
              <w:t xml:space="preserve">Facts of the Case </w:t>
            </w:r>
          </w:p>
          <w:p w:rsidR="00B37F08" w:rsidRDefault="00B37F08">
            <w:pPr>
              <w:pStyle w:val="NormalWeb"/>
            </w:pPr>
            <w:r>
              <w:t xml:space="preserve">In 1961, M.O. Sims, David J. Vann (Vann v. Baggett), John McConnell (McConnell v. Baggett), and other voters from </w:t>
            </w:r>
            <w:smartTag w:uri="urn:schemas-microsoft-com:office:smarttags" w:element="place">
              <w:smartTag w:uri="urn:schemas-microsoft-com:office:smarttags" w:element="City">
                <w:r>
                  <w:t>Jefferson County</w:t>
                </w:r>
              </w:smartTag>
              <w:r>
                <w:t xml:space="preserve">, </w:t>
              </w:r>
              <w:smartTag w:uri="urn:schemas-microsoft-com:office:smarttags" w:element="State">
                <w:r>
                  <w:t>Alabama</w:t>
                </w:r>
              </w:smartTag>
            </w:smartTag>
            <w:r>
              <w:t xml:space="preserve">, challenged the apportionment of the state legislature. The Alabama Constitution prescribed that each county was entitled to at least one representative and that there were to be as many senatorial districts as there were senators. Population variance ratios of as great as 41-to-1 existed in the Senate.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19" name="Picture 19"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rHeight w:val="405"/>
          <w:tblCellSpacing w:w="0" w:type="dxa"/>
        </w:trPr>
        <w:tc>
          <w:tcPr>
            <w:tcW w:w="0" w:type="auto"/>
            <w:gridSpan w:val="2"/>
          </w:tcPr>
          <w:p w:rsidR="00B37F08" w:rsidRDefault="00B37F08">
            <w:pPr>
              <w:pStyle w:val="Heading4"/>
            </w:pPr>
            <w:r>
              <w:t xml:space="preserve">Question Presented </w:t>
            </w:r>
          </w:p>
          <w:p w:rsidR="00B37F08" w:rsidRDefault="00B37F08">
            <w:pPr>
              <w:pStyle w:val="NormalWeb"/>
            </w:pPr>
            <w:r>
              <w:t xml:space="preserve">Did </w:t>
            </w:r>
            <w:smartTag w:uri="urn:schemas-microsoft-com:office:smarttags" w:element="State">
              <w:smartTag w:uri="urn:schemas-microsoft-com:office:smarttags" w:element="place">
                <w:r>
                  <w:t>Alabama</w:t>
                </w:r>
              </w:smartTag>
            </w:smartTag>
            <w:r>
              <w:t xml:space="preserve">'s apportionment scheme violate the Fourteenth Amendment's Equal Protection Clause by mandating at least one representative per county and creating as many senatorial districts as there were senators, regardless of population variances?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20" name="Picture 20"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rHeight w:val="1080"/>
          <w:tblCellSpacing w:w="0" w:type="dxa"/>
        </w:trPr>
        <w:tc>
          <w:tcPr>
            <w:tcW w:w="0" w:type="auto"/>
            <w:gridSpan w:val="2"/>
          </w:tcPr>
          <w:p w:rsidR="00B37F08" w:rsidRDefault="00B37F08">
            <w:pPr>
              <w:pStyle w:val="Heading4"/>
            </w:pPr>
            <w:r>
              <w:t xml:space="preserve">Conclusion </w:t>
            </w:r>
          </w:p>
          <w:p w:rsidR="00B37F08" w:rsidRDefault="00B37F08">
            <w:pPr>
              <w:pStyle w:val="NormalWeb"/>
            </w:pPr>
            <w:r>
              <w:t xml:space="preserve">In an 8-to-1 decision, the Court upheld the challenge to the </w:t>
            </w:r>
            <w:smartTag w:uri="urn:schemas-microsoft-com:office:smarttags" w:element="State">
              <w:smartTag w:uri="urn:schemas-microsoft-com:office:smarttags" w:element="place">
                <w:r>
                  <w:t>Alabama</w:t>
                </w:r>
              </w:smartTag>
            </w:smartTag>
            <w:r>
              <w:t xml:space="preserve"> system, holding that Equal Protection Clause demanded "no less than substantially equal state legislative representation for all citizens...." Noting that the right to direct representation was "a bedrock of our political system," the Court held that both houses of bicameral state legislatures had to be apportioned on a population basis. States were required to "honest and good faith" efforts to construct districts as nearly of equal population as practicable.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bl>
    <w:p w:rsidR="00B37F08" w:rsidRDefault="00B37F08"/>
    <w:p w:rsidR="00B37F08" w:rsidRDefault="00B37F08"/>
    <w:p w:rsidR="00B37F08" w:rsidRDefault="00B37F08"/>
    <w:p w:rsidR="00B37F08" w:rsidRDefault="00B37F08"/>
    <w:p w:rsidR="00B37F08" w:rsidRDefault="00B37F08"/>
    <w:p w:rsidR="00B37F08" w:rsidRDefault="00B37F08"/>
    <w:p w:rsidR="00B37F08" w:rsidRDefault="00B37F08"/>
    <w:p w:rsidR="00B37F08" w:rsidRDefault="00B37F08" w:rsidP="00B37F08">
      <w:pPr>
        <w:pStyle w:val="Heading1"/>
      </w:pPr>
      <w:r>
        <w:lastRenderedPageBreak/>
        <w:t xml:space="preserve">Griswold v. </w:t>
      </w:r>
      <w:smartTag w:uri="urn:schemas-microsoft-com:office:smarttags" w:element="State">
        <w:smartTag w:uri="urn:schemas-microsoft-com:office:smarttags" w:element="place">
          <w:r>
            <w:t>Connecticut</w:t>
          </w:r>
        </w:smartTag>
      </w:smartTag>
    </w:p>
    <w:p w:rsidR="00B37F08" w:rsidRDefault="00B37F08" w:rsidP="00B37F08">
      <w:pPr>
        <w:pStyle w:val="Heading2"/>
      </w:pPr>
      <w:r>
        <w:t xml:space="preserve">381 </w:t>
      </w:r>
      <w:smartTag w:uri="urn:schemas-microsoft-com:office:smarttags" w:element="country-region">
        <w:smartTag w:uri="urn:schemas-microsoft-com:office:smarttags" w:element="place">
          <w:r>
            <w:t>U.S.</w:t>
          </w:r>
        </w:smartTag>
      </w:smartTag>
      <w:r>
        <w:t xml:space="preserve"> 479 (1965) </w:t>
      </w:r>
    </w:p>
    <w:p w:rsidR="00B37F08" w:rsidRDefault="00B37F08" w:rsidP="00B37F08">
      <w:pPr>
        <w:pStyle w:val="Heading3"/>
      </w:pPr>
      <w:r>
        <w:t>Docket Number: 496</w:t>
      </w:r>
    </w:p>
    <w:p w:rsidR="00B37F08" w:rsidRDefault="00B37F08" w:rsidP="00B37F08">
      <w:pPr>
        <w:pStyle w:val="Heading3"/>
      </w:pPr>
      <w:r>
        <w:t>Abstract</w:t>
      </w:r>
    </w:p>
    <w:p w:rsidR="00B37F08" w:rsidRDefault="00B37F08" w:rsidP="00B37F08">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B37F08">
        <w:trPr>
          <w:tblCellSpacing w:w="0" w:type="dxa"/>
        </w:trPr>
        <w:tc>
          <w:tcPr>
            <w:tcW w:w="0" w:type="auto"/>
            <w:gridSpan w:val="10"/>
            <w:vAlign w:val="center"/>
          </w:tcPr>
          <w:p w:rsidR="00B37F08" w:rsidRDefault="0032080E">
            <w:pPr>
              <w:rPr>
                <w:szCs w:val="24"/>
              </w:rPr>
            </w:pPr>
            <w:r>
              <w:rPr>
                <w:noProof/>
              </w:rPr>
              <w:drawing>
                <wp:inline distT="0" distB="0" distL="0" distR="0">
                  <wp:extent cx="9525" cy="38100"/>
                  <wp:effectExtent l="0" t="0" r="0" b="0"/>
                  <wp:docPr id="21" name="Pictur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B37F08">
        <w:trPr>
          <w:tblCellSpacing w:w="0" w:type="dxa"/>
        </w:trPr>
        <w:tc>
          <w:tcPr>
            <w:tcW w:w="1000" w:type="pct"/>
          </w:tcPr>
          <w:p w:rsidR="00B37F08" w:rsidRDefault="00B37F08">
            <w:pPr>
              <w:pStyle w:val="List1"/>
            </w:pPr>
            <w:r>
              <w:t>Argued:</w:t>
            </w:r>
          </w:p>
        </w:tc>
        <w:tc>
          <w:tcPr>
            <w:tcW w:w="4000" w:type="pct"/>
          </w:tcPr>
          <w:p w:rsidR="00B37F08" w:rsidRDefault="00B37F08">
            <w:pPr>
              <w:pStyle w:val="List1"/>
            </w:pPr>
            <w:r>
              <w:t>March 29, 1965</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1000" w:type="pct"/>
          </w:tcPr>
          <w:p w:rsidR="00B37F08" w:rsidRDefault="00B37F08">
            <w:pPr>
              <w:pStyle w:val="List1"/>
            </w:pPr>
            <w:r>
              <w:t>Decided:</w:t>
            </w:r>
          </w:p>
        </w:tc>
        <w:tc>
          <w:tcPr>
            <w:tcW w:w="4000" w:type="pct"/>
          </w:tcPr>
          <w:p w:rsidR="00B37F08" w:rsidRDefault="00B37F08">
            <w:pPr>
              <w:pStyle w:val="List1"/>
            </w:pPr>
            <w:r>
              <w:t>June 7, 1965</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vAlign w:val="center"/>
          </w:tcPr>
          <w:p w:rsidR="00B37F08" w:rsidRDefault="00B37F08">
            <w:pPr>
              <w:rPr>
                <w:szCs w:val="24"/>
              </w:rPr>
            </w:pPr>
            <w:r>
              <w:t> </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1000" w:type="pct"/>
          </w:tcPr>
          <w:p w:rsidR="00B37F08" w:rsidRDefault="00B37F08">
            <w:pPr>
              <w:pStyle w:val="Heading4"/>
            </w:pPr>
            <w:r>
              <w:t>Subjects:</w:t>
            </w:r>
          </w:p>
        </w:tc>
        <w:tc>
          <w:tcPr>
            <w:tcW w:w="4000" w:type="pct"/>
          </w:tcPr>
          <w:p w:rsidR="00B37F08" w:rsidRDefault="00B37F08">
            <w:pPr>
              <w:pStyle w:val="List1"/>
            </w:pPr>
            <w:r>
              <w:t>Judicial Power: Standing to Sue, Personal Injury</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22" name="Picture 2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gridSpan w:val="2"/>
          </w:tcPr>
          <w:p w:rsidR="00B37F08" w:rsidRDefault="00B37F08">
            <w:pPr>
              <w:pStyle w:val="Heading4"/>
            </w:pPr>
            <w:r>
              <w:t xml:space="preserve">Facts of the Case </w:t>
            </w:r>
          </w:p>
          <w:p w:rsidR="00B37F08" w:rsidRDefault="00B37F08">
            <w:pPr>
              <w:pStyle w:val="NormalWeb"/>
            </w:pPr>
            <w:r>
              <w:t xml:space="preserve">Griswold was the Executive Director of the Planned Parenthood League of Connecticut. Both she and the Medical Director for the League gave information, instruction, and other medical advice to married couples concerning birth control. Griswold and her colleague were convicted under a </w:t>
            </w:r>
            <w:smartTag w:uri="urn:schemas-microsoft-com:office:smarttags" w:element="State">
              <w:smartTag w:uri="urn:schemas-microsoft-com:office:smarttags" w:element="place">
                <w:r>
                  <w:t>Connecticut</w:t>
                </w:r>
              </w:smartTag>
            </w:smartTag>
            <w:r>
              <w:t xml:space="preserve"> law which criminalized the provision of counselling, and other medical treatment, to married persons for purposes of preventing conception.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23" name="Picture 23"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rHeight w:val="405"/>
          <w:tblCellSpacing w:w="0" w:type="dxa"/>
        </w:trPr>
        <w:tc>
          <w:tcPr>
            <w:tcW w:w="0" w:type="auto"/>
            <w:gridSpan w:val="2"/>
          </w:tcPr>
          <w:p w:rsidR="00B37F08" w:rsidRDefault="00B37F08">
            <w:pPr>
              <w:pStyle w:val="Heading4"/>
            </w:pPr>
            <w:r>
              <w:t xml:space="preserve">Question Presented </w:t>
            </w:r>
          </w:p>
          <w:p w:rsidR="00B37F08" w:rsidRDefault="00B37F08">
            <w:pPr>
              <w:pStyle w:val="NormalWeb"/>
            </w:pPr>
            <w:r>
              <w:t xml:space="preserve">Does the Constitution protect the right of marital privacy against state restrictions on a couple's ability to be counseled in the use of contraceptives?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24" name="Picture 24"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rHeight w:val="1080"/>
          <w:tblCellSpacing w:w="0" w:type="dxa"/>
        </w:trPr>
        <w:tc>
          <w:tcPr>
            <w:tcW w:w="0" w:type="auto"/>
            <w:gridSpan w:val="2"/>
          </w:tcPr>
          <w:p w:rsidR="00B37F08" w:rsidRDefault="00B37F08">
            <w:pPr>
              <w:pStyle w:val="Heading4"/>
            </w:pPr>
            <w:r>
              <w:t xml:space="preserve">Conclusion </w:t>
            </w:r>
          </w:p>
          <w:p w:rsidR="00B37F08" w:rsidRDefault="00B37F08">
            <w:pPr>
              <w:pStyle w:val="NormalWeb"/>
            </w:pPr>
            <w:r>
              <w:t xml:space="preserve">Though the Constitution does not explicitly protect a general right to privacy, the various guarantees within the Bill of Rights create penumbras, or zones, that establish a right to privacy. Together, the First, Third, Fourth, and Ninth Amendments, create a new constitutional right, the right to privacy in marital relations. The </w:t>
            </w:r>
            <w:smartTag w:uri="urn:schemas-microsoft-com:office:smarttags" w:element="State">
              <w:smartTag w:uri="urn:schemas-microsoft-com:office:smarttags" w:element="place">
                <w:r>
                  <w:t>Connecticut</w:t>
                </w:r>
              </w:smartTag>
            </w:smartTag>
            <w:r>
              <w:t xml:space="preserve"> statute conflicts with the exercise of this right and is therefore null and void.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bl>
    <w:p w:rsidR="00B37F08" w:rsidRDefault="00B37F08" w:rsidP="00B37F08">
      <w:pPr>
        <w:pStyle w:val="Heading1"/>
      </w:pPr>
    </w:p>
    <w:p w:rsidR="00B37F08" w:rsidRDefault="00B37F08" w:rsidP="00B37F08">
      <w:pPr>
        <w:pStyle w:val="Heading1"/>
      </w:pPr>
      <w:r>
        <w:br w:type="page"/>
      </w:r>
      <w:r>
        <w:lastRenderedPageBreak/>
        <w:t>Roe v. Wade</w:t>
      </w:r>
    </w:p>
    <w:p w:rsidR="00B37F08" w:rsidRDefault="00B37F08" w:rsidP="00B37F08">
      <w:pPr>
        <w:pStyle w:val="Heading2"/>
      </w:pPr>
      <w:r>
        <w:t xml:space="preserve">410 </w:t>
      </w:r>
      <w:smartTag w:uri="urn:schemas-microsoft-com:office:smarttags" w:element="place">
        <w:smartTag w:uri="urn:schemas-microsoft-com:office:smarttags" w:element="country-region">
          <w:r>
            <w:t>U.S.</w:t>
          </w:r>
        </w:smartTag>
      </w:smartTag>
      <w:r>
        <w:t xml:space="preserve"> 113 (1973) </w:t>
      </w:r>
    </w:p>
    <w:p w:rsidR="00B37F08" w:rsidRDefault="00B37F08" w:rsidP="00B37F08">
      <w:pPr>
        <w:pStyle w:val="Heading3"/>
      </w:pPr>
      <w:r>
        <w:t>Docket Number: 70-18</w:t>
      </w:r>
    </w:p>
    <w:p w:rsidR="00B37F08" w:rsidRDefault="00B37F08" w:rsidP="00B37F08">
      <w:pPr>
        <w:pStyle w:val="Heading3"/>
      </w:pPr>
      <w:r>
        <w:t>Abstract</w:t>
      </w:r>
    </w:p>
    <w:p w:rsidR="00B37F08" w:rsidRDefault="00B37F08" w:rsidP="00B37F08">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B37F08">
        <w:trPr>
          <w:tblCellSpacing w:w="0" w:type="dxa"/>
        </w:trPr>
        <w:tc>
          <w:tcPr>
            <w:tcW w:w="0" w:type="auto"/>
            <w:gridSpan w:val="10"/>
            <w:vAlign w:val="center"/>
          </w:tcPr>
          <w:p w:rsidR="00B37F08" w:rsidRDefault="0032080E" w:rsidP="00B37F08">
            <w:pPr>
              <w:rPr>
                <w:szCs w:val="24"/>
              </w:rPr>
            </w:pPr>
            <w:r>
              <w:rPr>
                <w:noProof/>
              </w:rPr>
              <w:drawing>
                <wp:inline distT="0" distB="0" distL="0" distR="0">
                  <wp:extent cx="9525" cy="38100"/>
                  <wp:effectExtent l="0" t="0" r="0" b="0"/>
                  <wp:docPr id="25" name="Picture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B37F08">
        <w:trPr>
          <w:tblCellSpacing w:w="0" w:type="dxa"/>
        </w:trPr>
        <w:tc>
          <w:tcPr>
            <w:tcW w:w="1000" w:type="pct"/>
          </w:tcPr>
          <w:p w:rsidR="00B37F08" w:rsidRDefault="00B37F08" w:rsidP="00B37F08">
            <w:pPr>
              <w:pStyle w:val="List1"/>
            </w:pPr>
            <w:r>
              <w:t>Decided:</w:t>
            </w:r>
          </w:p>
        </w:tc>
        <w:tc>
          <w:tcPr>
            <w:tcW w:w="4000" w:type="pct"/>
          </w:tcPr>
          <w:p w:rsidR="00B37F08" w:rsidRDefault="00B37F08" w:rsidP="00B37F08">
            <w:pPr>
              <w:pStyle w:val="List1"/>
            </w:pPr>
            <w:r>
              <w:t>January 22, 1973</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1000" w:type="pct"/>
          </w:tcPr>
          <w:p w:rsidR="00B37F08" w:rsidRDefault="00B37F08" w:rsidP="00B37F08">
            <w:pPr>
              <w:pStyle w:val="List1"/>
            </w:pPr>
            <w:r>
              <w:t>Reargued:</w:t>
            </w:r>
          </w:p>
        </w:tc>
        <w:tc>
          <w:tcPr>
            <w:tcW w:w="4000" w:type="pct"/>
          </w:tcPr>
          <w:p w:rsidR="00B37F08" w:rsidRDefault="00B37F08" w:rsidP="00B37F08">
            <w:pPr>
              <w:pStyle w:val="List1"/>
            </w:pPr>
            <w:r>
              <w:t>October 11, 1972</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1000" w:type="pct"/>
          </w:tcPr>
          <w:p w:rsidR="00B37F08" w:rsidRDefault="00B37F08" w:rsidP="00B37F08">
            <w:pPr>
              <w:pStyle w:val="List1"/>
            </w:pPr>
            <w:r>
              <w:t>Argued:</w:t>
            </w:r>
          </w:p>
        </w:tc>
        <w:tc>
          <w:tcPr>
            <w:tcW w:w="4000" w:type="pct"/>
          </w:tcPr>
          <w:p w:rsidR="00B37F08" w:rsidRDefault="00B37F08" w:rsidP="00B37F08">
            <w:pPr>
              <w:pStyle w:val="List1"/>
            </w:pPr>
            <w:r>
              <w:t>December 13, 1971</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0" w:type="auto"/>
            <w:vAlign w:val="center"/>
          </w:tcPr>
          <w:p w:rsidR="00B37F08" w:rsidRDefault="00B37F08" w:rsidP="00B37F08">
            <w:pPr>
              <w:rPr>
                <w:szCs w:val="24"/>
              </w:rPr>
            </w:pPr>
            <w:r>
              <w:t> </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1000" w:type="pct"/>
          </w:tcPr>
          <w:p w:rsidR="00B37F08" w:rsidRDefault="00B37F08" w:rsidP="00B37F08">
            <w:pPr>
              <w:pStyle w:val="Heading4"/>
            </w:pPr>
            <w:r>
              <w:t>Subjects:</w:t>
            </w:r>
          </w:p>
        </w:tc>
        <w:tc>
          <w:tcPr>
            <w:tcW w:w="4000" w:type="pct"/>
          </w:tcPr>
          <w:p w:rsidR="00B37F08" w:rsidRDefault="00B37F08" w:rsidP="00B37F08">
            <w:pPr>
              <w:pStyle w:val="List1"/>
            </w:pPr>
            <w:r>
              <w:t>Privacy: Abortion, Including Contraceptives</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0" w:type="auto"/>
            <w:gridSpan w:val="2"/>
            <w:vAlign w:val="center"/>
          </w:tcPr>
          <w:p w:rsidR="00B37F08" w:rsidRDefault="0032080E" w:rsidP="00B37F08">
            <w:pPr>
              <w:rPr>
                <w:szCs w:val="24"/>
              </w:rPr>
            </w:pPr>
            <w:r>
              <w:rPr>
                <w:noProof/>
              </w:rPr>
              <w:drawing>
                <wp:inline distT="0" distB="0" distL="0" distR="0">
                  <wp:extent cx="19050" cy="66675"/>
                  <wp:effectExtent l="0" t="0" r="0" b="0"/>
                  <wp:docPr id="26" name="Picture 26"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0" w:type="auto"/>
            <w:gridSpan w:val="2"/>
          </w:tcPr>
          <w:p w:rsidR="00B37F08" w:rsidRDefault="00B37F08" w:rsidP="00B37F08">
            <w:pPr>
              <w:pStyle w:val="Heading4"/>
            </w:pPr>
            <w:r>
              <w:t xml:space="preserve">Facts of the Case </w:t>
            </w:r>
          </w:p>
          <w:p w:rsidR="00B37F08" w:rsidRDefault="00B37F08" w:rsidP="00B37F08">
            <w:pPr>
              <w:pStyle w:val="NormalWeb"/>
            </w:pPr>
            <w:r>
              <w:t xml:space="preserve">Roe, a </w:t>
            </w:r>
            <w:smartTag w:uri="urn:schemas-microsoft-com:office:smarttags" w:element="place">
              <w:smartTag w:uri="urn:schemas-microsoft-com:office:smarttags" w:element="State">
                <w:r>
                  <w:t>Texas</w:t>
                </w:r>
              </w:smartTag>
            </w:smartTag>
            <w:r>
              <w:t xml:space="preserve"> resident, sought to terminate her pregnancy by abortion. </w:t>
            </w:r>
            <w:smartTag w:uri="urn:schemas-microsoft-com:office:smarttags" w:element="place">
              <w:smartTag w:uri="urn:schemas-microsoft-com:office:smarttags" w:element="State">
                <w:r>
                  <w:t>Texas</w:t>
                </w:r>
              </w:smartTag>
            </w:smartTag>
            <w:r>
              <w:t xml:space="preserve"> law prohibited abortions except to save the pregnant woman's life. After granting certiorari, the Court heard arguments twice. The first time, Roe's attorney -- Sarah </w:t>
            </w:r>
            <w:proofErr w:type="spellStart"/>
            <w:r>
              <w:t>Weddington</w:t>
            </w:r>
            <w:proofErr w:type="spellEnd"/>
            <w:r>
              <w:t xml:space="preserve"> -- could not locate the constitutional hook of her argument for Justice Potter Stewart. Her opponent -- Jay Floyd -- misfired from the start. </w:t>
            </w:r>
            <w:proofErr w:type="spellStart"/>
            <w:r>
              <w:t>Weddington</w:t>
            </w:r>
            <w:proofErr w:type="spellEnd"/>
            <w:r>
              <w:t xml:space="preserve"> sharpened her constitutional argument in the second round. Her new opponent -- Robert Flowers -- came under strong questioning from Justices Potter Stewart and Thurgood Marshall. </w:t>
            </w: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r>
      <w:tr w:rsidR="00B37F08">
        <w:trPr>
          <w:tblCellSpacing w:w="0" w:type="dxa"/>
        </w:trPr>
        <w:tc>
          <w:tcPr>
            <w:tcW w:w="0" w:type="auto"/>
            <w:gridSpan w:val="2"/>
            <w:vAlign w:val="center"/>
          </w:tcPr>
          <w:p w:rsidR="00B37F08" w:rsidRDefault="0032080E" w:rsidP="00B37F08">
            <w:pPr>
              <w:rPr>
                <w:szCs w:val="24"/>
              </w:rPr>
            </w:pPr>
            <w:r>
              <w:rPr>
                <w:noProof/>
              </w:rPr>
              <w:drawing>
                <wp:inline distT="0" distB="0" distL="0" distR="0">
                  <wp:extent cx="19050" cy="66675"/>
                  <wp:effectExtent l="0" t="0" r="0" b="0"/>
                  <wp:docPr id="27" name="Picture 27"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rHeight w:val="405"/>
          <w:tblCellSpacing w:w="0" w:type="dxa"/>
        </w:trPr>
        <w:tc>
          <w:tcPr>
            <w:tcW w:w="0" w:type="auto"/>
            <w:gridSpan w:val="2"/>
          </w:tcPr>
          <w:p w:rsidR="00B37F08" w:rsidRDefault="00B37F08" w:rsidP="00B37F08">
            <w:pPr>
              <w:pStyle w:val="Heading4"/>
            </w:pPr>
            <w:r>
              <w:t xml:space="preserve">Question Presented </w:t>
            </w:r>
          </w:p>
          <w:p w:rsidR="00B37F08" w:rsidRDefault="00B37F08" w:rsidP="00B37F08">
            <w:pPr>
              <w:pStyle w:val="NormalWeb"/>
            </w:pPr>
            <w:r>
              <w:t xml:space="preserve">Does the Constitution embrace a woman's right to terminate her pregnancy by abortion? </w:t>
            </w: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r>
      <w:tr w:rsidR="00B37F08">
        <w:trPr>
          <w:tblCellSpacing w:w="0" w:type="dxa"/>
        </w:trPr>
        <w:tc>
          <w:tcPr>
            <w:tcW w:w="0" w:type="auto"/>
            <w:gridSpan w:val="2"/>
            <w:vAlign w:val="center"/>
          </w:tcPr>
          <w:p w:rsidR="00B37F08" w:rsidRDefault="0032080E" w:rsidP="00B37F08">
            <w:pPr>
              <w:rPr>
                <w:szCs w:val="24"/>
              </w:rPr>
            </w:pPr>
            <w:r>
              <w:rPr>
                <w:noProof/>
              </w:rPr>
              <w:drawing>
                <wp:inline distT="0" distB="0" distL="0" distR="0">
                  <wp:extent cx="19050" cy="66675"/>
                  <wp:effectExtent l="0" t="0" r="0" b="0"/>
                  <wp:docPr id="28" name="Picture 28"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rHeight w:val="1080"/>
          <w:tblCellSpacing w:w="0" w:type="dxa"/>
        </w:trPr>
        <w:tc>
          <w:tcPr>
            <w:tcW w:w="0" w:type="auto"/>
            <w:gridSpan w:val="2"/>
          </w:tcPr>
          <w:p w:rsidR="00B37F08" w:rsidRDefault="00B37F08" w:rsidP="00B37F08">
            <w:pPr>
              <w:pStyle w:val="Heading4"/>
            </w:pPr>
            <w:r>
              <w:t xml:space="preserve">Conclusion </w:t>
            </w:r>
          </w:p>
          <w:p w:rsidR="00B37F08" w:rsidRDefault="00B37F08" w:rsidP="00B37F08">
            <w:pPr>
              <w:pStyle w:val="NormalWeb"/>
            </w:pPr>
            <w:r>
              <w:t xml:space="preserve">The Court held that a woman's right to an abortion fell within the right to privacy (recognized in Griswold v. </w:t>
            </w:r>
            <w:smartTag w:uri="urn:schemas-microsoft-com:office:smarttags" w:element="place">
              <w:smartTag w:uri="urn:schemas-microsoft-com:office:smarttags" w:element="State">
                <w:r>
                  <w:t>Connecticut</w:t>
                </w:r>
              </w:smartTag>
            </w:smartTag>
            <w:r>
              <w:t>) protected by the Fourteenth Amendment. The decision gave a woman total autonomy over the pregnancy during the first trimester and defined different levels of state interest for the second and third trimesters. As a result, the laws of 46 states were affected by the Court's ruling.</w:t>
            </w: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r>
    </w:tbl>
    <w:p w:rsidR="00B37F08" w:rsidRDefault="00B37F08" w:rsidP="00B37F08">
      <w:pPr>
        <w:pStyle w:val="Heading1"/>
      </w:pPr>
    </w:p>
    <w:p w:rsidR="00B37F08" w:rsidRDefault="00B37F08" w:rsidP="00B37F08">
      <w:pPr>
        <w:pStyle w:val="Heading1"/>
      </w:pPr>
      <w:r>
        <w:br w:type="page"/>
      </w:r>
      <w:r>
        <w:lastRenderedPageBreak/>
        <w:t>Webster v. Reproductive Health Services</w:t>
      </w:r>
    </w:p>
    <w:p w:rsidR="00B37F08" w:rsidRDefault="00B37F08" w:rsidP="00B37F08">
      <w:pPr>
        <w:pStyle w:val="Heading2"/>
      </w:pPr>
      <w:r>
        <w:t xml:space="preserve">492 </w:t>
      </w:r>
      <w:smartTag w:uri="urn:schemas-microsoft-com:office:smarttags" w:element="place">
        <w:smartTag w:uri="urn:schemas-microsoft-com:office:smarttags" w:element="country-region">
          <w:r>
            <w:t>U.S.</w:t>
          </w:r>
        </w:smartTag>
      </w:smartTag>
      <w:r>
        <w:t xml:space="preserve"> 490 (1989) </w:t>
      </w:r>
    </w:p>
    <w:p w:rsidR="00B37F08" w:rsidRDefault="00B37F08" w:rsidP="00B37F08">
      <w:pPr>
        <w:pStyle w:val="Heading3"/>
      </w:pPr>
      <w:r>
        <w:t>Docket Number: 88-605</w:t>
      </w:r>
    </w:p>
    <w:p w:rsidR="00B37F08" w:rsidRDefault="00B37F08" w:rsidP="00B37F08">
      <w:pPr>
        <w:pStyle w:val="Heading3"/>
      </w:pPr>
      <w:r>
        <w:t>Abstract</w:t>
      </w:r>
    </w:p>
    <w:p w:rsidR="00B37F08" w:rsidRDefault="00B37F08" w:rsidP="00B37F08">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B37F08">
        <w:trPr>
          <w:tblCellSpacing w:w="0" w:type="dxa"/>
        </w:trPr>
        <w:tc>
          <w:tcPr>
            <w:tcW w:w="0" w:type="auto"/>
            <w:gridSpan w:val="10"/>
            <w:vAlign w:val="center"/>
          </w:tcPr>
          <w:p w:rsidR="00B37F08" w:rsidRDefault="0032080E" w:rsidP="00B37F08">
            <w:pPr>
              <w:rPr>
                <w:szCs w:val="24"/>
              </w:rPr>
            </w:pPr>
            <w:r>
              <w:rPr>
                <w:noProof/>
              </w:rPr>
              <w:drawing>
                <wp:inline distT="0" distB="0" distL="0" distR="0">
                  <wp:extent cx="9525" cy="38100"/>
                  <wp:effectExtent l="0" t="0" r="0" b="0"/>
                  <wp:docPr id="29" name="Picture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B37F08">
        <w:trPr>
          <w:tblCellSpacing w:w="0" w:type="dxa"/>
        </w:trPr>
        <w:tc>
          <w:tcPr>
            <w:tcW w:w="1000" w:type="pct"/>
          </w:tcPr>
          <w:p w:rsidR="00B37F08" w:rsidRDefault="00B37F08" w:rsidP="00B37F08">
            <w:pPr>
              <w:pStyle w:val="List1"/>
            </w:pPr>
            <w:r>
              <w:t>Argued:</w:t>
            </w:r>
          </w:p>
        </w:tc>
        <w:tc>
          <w:tcPr>
            <w:tcW w:w="4000" w:type="pct"/>
          </w:tcPr>
          <w:p w:rsidR="00B37F08" w:rsidRDefault="00B37F08" w:rsidP="00B37F08">
            <w:pPr>
              <w:pStyle w:val="List1"/>
            </w:pPr>
            <w:r>
              <w:t>April 26, 1989</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1000" w:type="pct"/>
          </w:tcPr>
          <w:p w:rsidR="00B37F08" w:rsidRDefault="00B37F08" w:rsidP="00B37F08">
            <w:pPr>
              <w:pStyle w:val="List1"/>
            </w:pPr>
            <w:r>
              <w:t>Decided:</w:t>
            </w:r>
          </w:p>
        </w:tc>
        <w:tc>
          <w:tcPr>
            <w:tcW w:w="4000" w:type="pct"/>
          </w:tcPr>
          <w:p w:rsidR="00B37F08" w:rsidRDefault="00B37F08" w:rsidP="00B37F08">
            <w:pPr>
              <w:pStyle w:val="List1"/>
            </w:pPr>
            <w:r>
              <w:t>July 3, 1989</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0" w:type="auto"/>
            <w:vAlign w:val="center"/>
          </w:tcPr>
          <w:p w:rsidR="00B37F08" w:rsidRDefault="00B37F08" w:rsidP="00B37F08">
            <w:pPr>
              <w:rPr>
                <w:szCs w:val="24"/>
              </w:rPr>
            </w:pPr>
            <w:r>
              <w:t> </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1000" w:type="pct"/>
          </w:tcPr>
          <w:p w:rsidR="00B37F08" w:rsidRDefault="00B37F08" w:rsidP="00B37F08">
            <w:pPr>
              <w:pStyle w:val="Heading4"/>
            </w:pPr>
            <w:r>
              <w:t>Subjects:</w:t>
            </w:r>
          </w:p>
        </w:tc>
        <w:tc>
          <w:tcPr>
            <w:tcW w:w="4000" w:type="pct"/>
          </w:tcPr>
          <w:p w:rsidR="00B37F08" w:rsidRDefault="00B37F08" w:rsidP="00B37F08">
            <w:pPr>
              <w:pStyle w:val="List1"/>
            </w:pPr>
            <w:r>
              <w:t>Privacy: Abortion, Including Contraceptives</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0" w:type="auto"/>
            <w:gridSpan w:val="2"/>
            <w:vAlign w:val="center"/>
          </w:tcPr>
          <w:p w:rsidR="00B37F08" w:rsidRDefault="0032080E" w:rsidP="00B37F08">
            <w:pPr>
              <w:rPr>
                <w:szCs w:val="24"/>
              </w:rPr>
            </w:pPr>
            <w:r>
              <w:rPr>
                <w:noProof/>
              </w:rPr>
              <w:drawing>
                <wp:inline distT="0" distB="0" distL="0" distR="0">
                  <wp:extent cx="19050" cy="66675"/>
                  <wp:effectExtent l="0" t="0" r="0" b="0"/>
                  <wp:docPr id="30" name="Picture 30"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0" w:type="auto"/>
            <w:gridSpan w:val="2"/>
          </w:tcPr>
          <w:p w:rsidR="00B37F08" w:rsidRDefault="00B37F08" w:rsidP="00B37F08">
            <w:pPr>
              <w:pStyle w:val="Heading4"/>
            </w:pPr>
            <w:r>
              <w:t xml:space="preserve">Facts of the Case </w:t>
            </w:r>
          </w:p>
          <w:p w:rsidR="00B37F08" w:rsidRDefault="00B37F08" w:rsidP="00B37F08">
            <w:pPr>
              <w:pStyle w:val="NormalWeb"/>
            </w:pPr>
            <w:r>
              <w:t xml:space="preserve">In 1986, the state of </w:t>
            </w:r>
            <w:smartTag w:uri="urn:schemas-microsoft-com:office:smarttags" w:element="place">
              <w:smartTag w:uri="urn:schemas-microsoft-com:office:smarttags" w:element="State">
                <w:r>
                  <w:t>Missouri</w:t>
                </w:r>
              </w:smartTag>
            </w:smartTag>
            <w:r>
              <w:t xml:space="preserve"> enacted legislation that placed a number of restrictions on abortions. The statute's preamble indicated that "[t]he life of each human being begins at conception," and the law codified the following restrictions: public employees and public facilities were not to be used in performing or assisting abortions unnecessary to save the mother's life; encouragement and counseling to have abortions was prohibited; and physicians were to perform viability tests upon women in their twentieth (or more) week of pregnancy. Lower courts struck down the restrictions. </w:t>
            </w: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r>
      <w:tr w:rsidR="00B37F08">
        <w:trPr>
          <w:tblCellSpacing w:w="0" w:type="dxa"/>
        </w:trPr>
        <w:tc>
          <w:tcPr>
            <w:tcW w:w="0" w:type="auto"/>
            <w:gridSpan w:val="2"/>
            <w:vAlign w:val="center"/>
          </w:tcPr>
          <w:p w:rsidR="00B37F08" w:rsidRDefault="0032080E" w:rsidP="00B37F08">
            <w:pPr>
              <w:rPr>
                <w:szCs w:val="24"/>
              </w:rPr>
            </w:pPr>
            <w:r>
              <w:rPr>
                <w:noProof/>
              </w:rPr>
              <w:drawing>
                <wp:inline distT="0" distB="0" distL="0" distR="0">
                  <wp:extent cx="19050" cy="66675"/>
                  <wp:effectExtent l="0" t="0" r="0" b="0"/>
                  <wp:docPr id="31" name="Picture 3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rHeight w:val="405"/>
          <w:tblCellSpacing w:w="0" w:type="dxa"/>
        </w:trPr>
        <w:tc>
          <w:tcPr>
            <w:tcW w:w="0" w:type="auto"/>
            <w:gridSpan w:val="2"/>
          </w:tcPr>
          <w:p w:rsidR="00B37F08" w:rsidRDefault="00B37F08" w:rsidP="00B37F08">
            <w:pPr>
              <w:pStyle w:val="Heading4"/>
            </w:pPr>
            <w:r>
              <w:t xml:space="preserve">Question Presented </w:t>
            </w:r>
          </w:p>
          <w:p w:rsidR="00B37F08" w:rsidRDefault="00B37F08" w:rsidP="00B37F08">
            <w:pPr>
              <w:pStyle w:val="NormalWeb"/>
            </w:pPr>
            <w:r>
              <w:t xml:space="preserve">Did the </w:t>
            </w:r>
            <w:smartTag w:uri="urn:schemas-microsoft-com:office:smarttags" w:element="place">
              <w:smartTag w:uri="urn:schemas-microsoft-com:office:smarttags" w:element="State">
                <w:r>
                  <w:t>Missouri</w:t>
                </w:r>
              </w:smartTag>
            </w:smartTag>
            <w:r>
              <w:t xml:space="preserve"> restrictions unconstitutionally infringe upon the right to privacy or the Equal Protection Clause of the Fourteenth Amendment? </w:t>
            </w: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r>
      <w:tr w:rsidR="00B37F08">
        <w:trPr>
          <w:tblCellSpacing w:w="0" w:type="dxa"/>
        </w:trPr>
        <w:tc>
          <w:tcPr>
            <w:tcW w:w="0" w:type="auto"/>
            <w:gridSpan w:val="2"/>
            <w:vAlign w:val="center"/>
          </w:tcPr>
          <w:p w:rsidR="00B37F08" w:rsidRDefault="0032080E" w:rsidP="00B37F08">
            <w:pPr>
              <w:rPr>
                <w:szCs w:val="24"/>
              </w:rPr>
            </w:pPr>
            <w:r>
              <w:rPr>
                <w:noProof/>
              </w:rPr>
              <w:drawing>
                <wp:inline distT="0" distB="0" distL="0" distR="0">
                  <wp:extent cx="19050" cy="66675"/>
                  <wp:effectExtent l="0" t="0" r="0" b="0"/>
                  <wp:docPr id="32" name="Picture 3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rHeight w:val="1080"/>
          <w:tblCellSpacing w:w="0" w:type="dxa"/>
        </w:trPr>
        <w:tc>
          <w:tcPr>
            <w:tcW w:w="0" w:type="auto"/>
            <w:gridSpan w:val="2"/>
          </w:tcPr>
          <w:p w:rsidR="00B37F08" w:rsidRDefault="00B37F08" w:rsidP="00B37F08">
            <w:pPr>
              <w:pStyle w:val="Heading4"/>
            </w:pPr>
            <w:r>
              <w:t xml:space="preserve">Conclusion </w:t>
            </w:r>
          </w:p>
          <w:p w:rsidR="00B37F08" w:rsidRDefault="00B37F08" w:rsidP="00B37F08">
            <w:pPr>
              <w:pStyle w:val="NormalWeb"/>
            </w:pPr>
            <w:r>
              <w:t xml:space="preserve">In a controversial and highly fractured decision, the Court held that none of the challenged provisions of the </w:t>
            </w:r>
            <w:smartTag w:uri="urn:schemas-microsoft-com:office:smarttags" w:element="place">
              <w:smartTag w:uri="urn:schemas-microsoft-com:office:smarttags" w:element="State">
                <w:r>
                  <w:t>Missouri</w:t>
                </w:r>
              </w:smartTag>
            </w:smartTag>
            <w:r>
              <w:t xml:space="preserve"> legislation were unconstitutional. First, the Court held that the preamble had not been applied in any concrete manner for the purposes of restricting abortions, and thus did not present a constitutional question. Second, the Court held that the Due Process Clause did not require states to enter into the business of abortion, and did not create an affirmative right to governmental aid in the pursuit of constitutional rights. Third, the Court found that no case or controversy existed in relation to the counseling provisions</w:t>
            </w:r>
            <w:r w:rsidR="004D3DBE">
              <w:t xml:space="preserve"> </w:t>
            </w:r>
            <w:r>
              <w:t xml:space="preserve">of the law. Finally, the Court upheld the viability testing requirements, arguing that the State's interest in protecting potential life could come into existence before the point of viability. The Court emphasized that it was not revisiting the essential portions of the holding in Roe v. Wade. </w:t>
            </w: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r>
    </w:tbl>
    <w:p w:rsidR="00B37F08" w:rsidRDefault="00B37F08" w:rsidP="00B37F08">
      <w:r>
        <w:t>(</w:t>
      </w:r>
      <w:proofErr w:type="gramStart"/>
      <w:r>
        <w:t>oyez</w:t>
      </w:r>
      <w:proofErr w:type="gramEnd"/>
      <w:r>
        <w:t>)</w:t>
      </w:r>
    </w:p>
    <w:p w:rsidR="00B37F08" w:rsidRDefault="00B37F08" w:rsidP="00B37F08"/>
    <w:p w:rsidR="00B37F08" w:rsidRDefault="00B37F08" w:rsidP="00B37F08">
      <w:pPr>
        <w:pStyle w:val="Heading1"/>
      </w:pPr>
      <w:r>
        <w:lastRenderedPageBreak/>
        <w:t>Planned Parenthood v. Casey</w:t>
      </w:r>
    </w:p>
    <w:p w:rsidR="00B37F08" w:rsidRDefault="00B37F08" w:rsidP="00B37F08">
      <w:pPr>
        <w:pStyle w:val="Heading2"/>
      </w:pPr>
      <w:r>
        <w:t xml:space="preserve">505 </w:t>
      </w:r>
      <w:smartTag w:uri="urn:schemas-microsoft-com:office:smarttags" w:element="place">
        <w:smartTag w:uri="urn:schemas-microsoft-com:office:smarttags" w:element="country-region">
          <w:r>
            <w:t>U.S.</w:t>
          </w:r>
        </w:smartTag>
      </w:smartTag>
      <w:r>
        <w:t xml:space="preserve"> 833 (1992) </w:t>
      </w:r>
    </w:p>
    <w:p w:rsidR="00B37F08" w:rsidRDefault="00B37F08" w:rsidP="00B37F08">
      <w:pPr>
        <w:pStyle w:val="Heading3"/>
      </w:pPr>
      <w:r>
        <w:t>Docket Number: 91-744</w:t>
      </w:r>
    </w:p>
    <w:p w:rsidR="00B37F08" w:rsidRDefault="00B37F08" w:rsidP="00B37F08">
      <w:pPr>
        <w:pStyle w:val="Heading3"/>
      </w:pPr>
      <w:r>
        <w:t>Abstract</w:t>
      </w:r>
    </w:p>
    <w:p w:rsidR="00B37F08" w:rsidRDefault="00B37F08" w:rsidP="00B37F08">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B37F08">
        <w:trPr>
          <w:tblCellSpacing w:w="0" w:type="dxa"/>
        </w:trPr>
        <w:tc>
          <w:tcPr>
            <w:tcW w:w="0" w:type="auto"/>
            <w:gridSpan w:val="10"/>
            <w:vAlign w:val="center"/>
          </w:tcPr>
          <w:p w:rsidR="00B37F08" w:rsidRDefault="0032080E" w:rsidP="00B37F08">
            <w:pPr>
              <w:rPr>
                <w:szCs w:val="24"/>
              </w:rPr>
            </w:pPr>
            <w:r>
              <w:rPr>
                <w:noProof/>
              </w:rPr>
              <w:drawing>
                <wp:inline distT="0" distB="0" distL="0" distR="0">
                  <wp:extent cx="9525" cy="38100"/>
                  <wp:effectExtent l="0" t="0" r="0" b="0"/>
                  <wp:docPr id="33" name="Picture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B37F08">
        <w:trPr>
          <w:tblCellSpacing w:w="0" w:type="dxa"/>
        </w:trPr>
        <w:tc>
          <w:tcPr>
            <w:tcW w:w="1000" w:type="pct"/>
          </w:tcPr>
          <w:p w:rsidR="00B37F08" w:rsidRDefault="00B37F08" w:rsidP="00B37F08">
            <w:pPr>
              <w:pStyle w:val="List1"/>
            </w:pPr>
            <w:r>
              <w:t>Argued:</w:t>
            </w:r>
          </w:p>
        </w:tc>
        <w:tc>
          <w:tcPr>
            <w:tcW w:w="4000" w:type="pct"/>
          </w:tcPr>
          <w:p w:rsidR="00B37F08" w:rsidRDefault="00B37F08" w:rsidP="00B37F08">
            <w:pPr>
              <w:pStyle w:val="List1"/>
            </w:pPr>
            <w:r>
              <w:t>April 22, 1992</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1000" w:type="pct"/>
          </w:tcPr>
          <w:p w:rsidR="00B37F08" w:rsidRDefault="00B37F08" w:rsidP="00B37F08">
            <w:pPr>
              <w:pStyle w:val="List1"/>
            </w:pPr>
            <w:r>
              <w:t>Decided:</w:t>
            </w:r>
          </w:p>
        </w:tc>
        <w:tc>
          <w:tcPr>
            <w:tcW w:w="4000" w:type="pct"/>
          </w:tcPr>
          <w:p w:rsidR="00B37F08" w:rsidRDefault="00B37F08" w:rsidP="00B37F08">
            <w:pPr>
              <w:pStyle w:val="List1"/>
            </w:pPr>
            <w:r>
              <w:t>June 29, 1992</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0" w:type="auto"/>
            <w:vAlign w:val="center"/>
          </w:tcPr>
          <w:p w:rsidR="00B37F08" w:rsidRDefault="00B37F08" w:rsidP="00B37F08">
            <w:pPr>
              <w:rPr>
                <w:szCs w:val="24"/>
              </w:rPr>
            </w:pPr>
            <w:r>
              <w:t> </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1000" w:type="pct"/>
          </w:tcPr>
          <w:p w:rsidR="00B37F08" w:rsidRDefault="00B37F08" w:rsidP="00B37F08">
            <w:pPr>
              <w:pStyle w:val="Heading4"/>
            </w:pPr>
            <w:r>
              <w:t>Subjects:</w:t>
            </w:r>
          </w:p>
        </w:tc>
        <w:tc>
          <w:tcPr>
            <w:tcW w:w="4000" w:type="pct"/>
          </w:tcPr>
          <w:p w:rsidR="00B37F08" w:rsidRDefault="00B37F08" w:rsidP="00B37F08">
            <w:pPr>
              <w:pStyle w:val="List1"/>
            </w:pPr>
            <w:r>
              <w:t>Privacy: Abortion, Including Contraceptives</w:t>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0" w:type="auto"/>
            <w:gridSpan w:val="2"/>
            <w:vAlign w:val="center"/>
          </w:tcPr>
          <w:p w:rsidR="00B37F08" w:rsidRDefault="0032080E" w:rsidP="00B37F08">
            <w:pPr>
              <w:rPr>
                <w:szCs w:val="24"/>
              </w:rPr>
            </w:pPr>
            <w:r>
              <w:rPr>
                <w:noProof/>
              </w:rPr>
              <w:drawing>
                <wp:inline distT="0" distB="0" distL="0" distR="0">
                  <wp:extent cx="19050" cy="66675"/>
                  <wp:effectExtent l="0" t="0" r="0" b="0"/>
                  <wp:docPr id="34" name="Picture 34"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blCellSpacing w:w="0" w:type="dxa"/>
        </w:trPr>
        <w:tc>
          <w:tcPr>
            <w:tcW w:w="0" w:type="auto"/>
            <w:gridSpan w:val="2"/>
          </w:tcPr>
          <w:p w:rsidR="00B37F08" w:rsidRDefault="00B37F08" w:rsidP="00B37F08">
            <w:pPr>
              <w:pStyle w:val="Heading4"/>
            </w:pPr>
            <w:r>
              <w:t xml:space="preserve">Facts of the Case </w:t>
            </w:r>
          </w:p>
          <w:p w:rsidR="00B37F08" w:rsidRDefault="00B37F08" w:rsidP="00B37F08">
            <w:pPr>
              <w:pStyle w:val="NormalWeb"/>
            </w:pPr>
            <w:r>
              <w:t xml:space="preserve">The </w:t>
            </w:r>
            <w:smartTag w:uri="urn:schemas-microsoft-com:office:smarttags" w:element="place">
              <w:smartTag w:uri="urn:schemas-microsoft-com:office:smarttags" w:element="State">
                <w:r>
                  <w:t>Pennsylvania</w:t>
                </w:r>
              </w:smartTag>
            </w:smartTag>
            <w:r>
              <w:t xml:space="preserve"> legislature amended its abortion control law in 1988 and 1989. Among the new provisions, the law required informed consent and a 24 hour waiting period prior to the procedure. A minor seeking an abortion required the consent of one parent (the law allows for a judicial bypass procedure). A married woman seeking an abortion had to indicate that she notified her husband of her intention to abort the fetus. These provisions were challenged by several abortion clinics and physicians. A federal appeals court upheld all the provisions except for the husband notification requirement. </w:t>
            </w: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r>
      <w:tr w:rsidR="00B37F08">
        <w:trPr>
          <w:tblCellSpacing w:w="0" w:type="dxa"/>
        </w:trPr>
        <w:tc>
          <w:tcPr>
            <w:tcW w:w="0" w:type="auto"/>
            <w:gridSpan w:val="2"/>
            <w:vAlign w:val="center"/>
          </w:tcPr>
          <w:p w:rsidR="00B37F08" w:rsidRDefault="0032080E" w:rsidP="00B37F08">
            <w:pPr>
              <w:rPr>
                <w:szCs w:val="24"/>
              </w:rPr>
            </w:pPr>
            <w:r>
              <w:rPr>
                <w:noProof/>
              </w:rPr>
              <w:drawing>
                <wp:inline distT="0" distB="0" distL="0" distR="0">
                  <wp:extent cx="19050" cy="66675"/>
                  <wp:effectExtent l="0" t="0" r="0" b="0"/>
                  <wp:docPr id="35" name="Picture 35"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rHeight w:val="405"/>
          <w:tblCellSpacing w:w="0" w:type="dxa"/>
        </w:trPr>
        <w:tc>
          <w:tcPr>
            <w:tcW w:w="0" w:type="auto"/>
            <w:gridSpan w:val="2"/>
          </w:tcPr>
          <w:p w:rsidR="00B37F08" w:rsidRDefault="00B37F08" w:rsidP="00B37F08">
            <w:pPr>
              <w:pStyle w:val="Heading4"/>
            </w:pPr>
            <w:r>
              <w:t xml:space="preserve">Question Presented </w:t>
            </w:r>
          </w:p>
          <w:p w:rsidR="00B37F08" w:rsidRDefault="00B37F08" w:rsidP="00B37F08">
            <w:pPr>
              <w:pStyle w:val="NormalWeb"/>
            </w:pPr>
            <w:r>
              <w:t xml:space="preserve">Can a state require women who want an abortion to obtain informed consent, wait 24 hours, and, if minors, obtain parental consent, without violating their right to abortions as guaranteed by Roe v. Wade? </w:t>
            </w: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r>
      <w:tr w:rsidR="00B37F08">
        <w:trPr>
          <w:tblCellSpacing w:w="0" w:type="dxa"/>
        </w:trPr>
        <w:tc>
          <w:tcPr>
            <w:tcW w:w="0" w:type="auto"/>
            <w:gridSpan w:val="2"/>
            <w:vAlign w:val="center"/>
          </w:tcPr>
          <w:p w:rsidR="00B37F08" w:rsidRDefault="0032080E" w:rsidP="00B37F08">
            <w:pPr>
              <w:rPr>
                <w:szCs w:val="24"/>
              </w:rPr>
            </w:pPr>
            <w:r>
              <w:rPr>
                <w:noProof/>
              </w:rPr>
              <w:drawing>
                <wp:inline distT="0" distB="0" distL="0" distR="0">
                  <wp:extent cx="19050" cy="66675"/>
                  <wp:effectExtent l="0" t="0" r="0" b="0"/>
                  <wp:docPr id="36" name="Picture 36"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c>
          <w:tcPr>
            <w:tcW w:w="0" w:type="auto"/>
            <w:vAlign w:val="center"/>
          </w:tcPr>
          <w:p w:rsidR="00B37F08" w:rsidRDefault="00B37F08" w:rsidP="00B37F08">
            <w:pPr>
              <w:rPr>
                <w:sz w:val="20"/>
              </w:rPr>
            </w:pPr>
          </w:p>
        </w:tc>
      </w:tr>
      <w:tr w:rsidR="00B37F08">
        <w:trPr>
          <w:trHeight w:val="1080"/>
          <w:tblCellSpacing w:w="0" w:type="dxa"/>
        </w:trPr>
        <w:tc>
          <w:tcPr>
            <w:tcW w:w="0" w:type="auto"/>
            <w:gridSpan w:val="2"/>
          </w:tcPr>
          <w:p w:rsidR="00B37F08" w:rsidRDefault="00B37F08" w:rsidP="00B37F08">
            <w:pPr>
              <w:pStyle w:val="Heading4"/>
            </w:pPr>
            <w:r>
              <w:t xml:space="preserve">Conclusion </w:t>
            </w:r>
          </w:p>
          <w:p w:rsidR="00B37F08" w:rsidRDefault="00B37F08" w:rsidP="00B37F08">
            <w:pPr>
              <w:pStyle w:val="NormalWeb"/>
            </w:pPr>
            <w:r>
              <w:t xml:space="preserve">In a bitter, 5-to-4 decision, the Court again reaffirmed Roe, but it upheld most of the </w:t>
            </w:r>
            <w:smartTag w:uri="urn:schemas-microsoft-com:office:smarttags" w:element="place">
              <w:smartTag w:uri="urn:schemas-microsoft-com:office:smarttags" w:element="State">
                <w:r>
                  <w:t>Pennsylvania</w:t>
                </w:r>
              </w:smartTag>
            </w:smartTag>
            <w:r>
              <w:t xml:space="preserve"> provisions. For the first time, the justices imposed a new standard to determine the validity of laws restricting abortions. The new standard asks whether a state abortion regulation has the purpose or effect of imposing an "undue burden," which is defined as a "substantial obstacle in the path of a woman seeking an abortion before the fetus attains viability." Under this standard, the only provision to fail the undue-burden test was the husband notification requirement. The opinion for the Court was unique: It was crafted and authored by three justices. </w:t>
            </w: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c>
          <w:tcPr>
            <w:tcW w:w="0" w:type="auto"/>
          </w:tcPr>
          <w:p w:rsidR="00B37F08" w:rsidRDefault="00B37F08" w:rsidP="00B37F08">
            <w:pPr>
              <w:rPr>
                <w:sz w:val="20"/>
              </w:rPr>
            </w:pPr>
          </w:p>
        </w:tc>
      </w:tr>
    </w:tbl>
    <w:p w:rsidR="00B37F08" w:rsidRDefault="00B37F08" w:rsidP="00B37F08">
      <w:r>
        <w:t>(OYEZ)</w:t>
      </w:r>
    </w:p>
    <w:p w:rsidR="00B37F08" w:rsidRDefault="00B37F08" w:rsidP="00B37F08"/>
    <w:p w:rsidR="00B37F08" w:rsidRDefault="00B37F08" w:rsidP="00B37F08"/>
    <w:p w:rsidR="00B37F08" w:rsidRDefault="00B37F08" w:rsidP="00B37F08">
      <w:pPr>
        <w:pStyle w:val="Heading1"/>
      </w:pPr>
      <w:r>
        <w:br w:type="page"/>
      </w:r>
      <w:r>
        <w:lastRenderedPageBreak/>
        <w:t>Gideon v. Wainwright</w:t>
      </w:r>
    </w:p>
    <w:p w:rsidR="00B37F08" w:rsidRDefault="00B37F08" w:rsidP="00B37F08">
      <w:pPr>
        <w:pStyle w:val="Heading2"/>
      </w:pPr>
      <w:r>
        <w:t xml:space="preserve">372 </w:t>
      </w:r>
      <w:smartTag w:uri="urn:schemas-microsoft-com:office:smarttags" w:element="country-region">
        <w:smartTag w:uri="urn:schemas-microsoft-com:office:smarttags" w:element="place">
          <w:r>
            <w:t>U.S.</w:t>
          </w:r>
        </w:smartTag>
      </w:smartTag>
      <w:r>
        <w:t xml:space="preserve"> 335 (1963) </w:t>
      </w:r>
    </w:p>
    <w:p w:rsidR="00B37F08" w:rsidRDefault="00B37F08" w:rsidP="00B37F08">
      <w:pPr>
        <w:pStyle w:val="Heading3"/>
      </w:pPr>
      <w:r>
        <w:t>Docket Number: 155</w:t>
      </w:r>
    </w:p>
    <w:p w:rsidR="00B37F08" w:rsidRDefault="00B37F08" w:rsidP="00B37F08">
      <w:pPr>
        <w:pStyle w:val="Heading3"/>
      </w:pPr>
      <w:r>
        <w:t>Abstract</w:t>
      </w:r>
    </w:p>
    <w:p w:rsidR="00B37F08" w:rsidRDefault="00B37F08" w:rsidP="00B37F08">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B37F08">
        <w:trPr>
          <w:tblCellSpacing w:w="0" w:type="dxa"/>
        </w:trPr>
        <w:tc>
          <w:tcPr>
            <w:tcW w:w="0" w:type="auto"/>
            <w:gridSpan w:val="10"/>
            <w:vAlign w:val="center"/>
          </w:tcPr>
          <w:p w:rsidR="00B37F08" w:rsidRDefault="0032080E">
            <w:pPr>
              <w:rPr>
                <w:szCs w:val="24"/>
              </w:rPr>
            </w:pPr>
            <w:r>
              <w:rPr>
                <w:noProof/>
              </w:rPr>
              <w:drawing>
                <wp:inline distT="0" distB="0" distL="0" distR="0">
                  <wp:extent cx="9525" cy="38100"/>
                  <wp:effectExtent l="0" t="0" r="0" b="0"/>
                  <wp:docPr id="37" name="Picture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B37F08">
        <w:trPr>
          <w:tblCellSpacing w:w="0" w:type="dxa"/>
        </w:trPr>
        <w:tc>
          <w:tcPr>
            <w:tcW w:w="1000" w:type="pct"/>
          </w:tcPr>
          <w:p w:rsidR="00B37F08" w:rsidRDefault="00B37F08">
            <w:pPr>
              <w:pStyle w:val="List1"/>
            </w:pPr>
            <w:r>
              <w:t>Argued:</w:t>
            </w:r>
          </w:p>
        </w:tc>
        <w:tc>
          <w:tcPr>
            <w:tcW w:w="4000" w:type="pct"/>
          </w:tcPr>
          <w:p w:rsidR="00B37F08" w:rsidRDefault="00B37F08">
            <w:pPr>
              <w:pStyle w:val="List1"/>
            </w:pPr>
            <w:r>
              <w:t>January 15, 1963</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1000" w:type="pct"/>
          </w:tcPr>
          <w:p w:rsidR="00B37F08" w:rsidRDefault="00B37F08">
            <w:pPr>
              <w:pStyle w:val="List1"/>
            </w:pPr>
            <w:r>
              <w:t>Decided:</w:t>
            </w:r>
          </w:p>
        </w:tc>
        <w:tc>
          <w:tcPr>
            <w:tcW w:w="4000" w:type="pct"/>
          </w:tcPr>
          <w:p w:rsidR="00B37F08" w:rsidRDefault="00B37F08">
            <w:pPr>
              <w:pStyle w:val="List1"/>
            </w:pPr>
            <w:r>
              <w:t>March 18, 1963</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vAlign w:val="center"/>
          </w:tcPr>
          <w:p w:rsidR="00B37F08" w:rsidRDefault="00B37F08">
            <w:pPr>
              <w:rPr>
                <w:szCs w:val="24"/>
              </w:rPr>
            </w:pPr>
            <w:r>
              <w:t> </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1000" w:type="pct"/>
          </w:tcPr>
          <w:p w:rsidR="00B37F08" w:rsidRDefault="00B37F08">
            <w:pPr>
              <w:pStyle w:val="Heading4"/>
            </w:pPr>
            <w:r>
              <w:t>Subjects:</w:t>
            </w:r>
          </w:p>
        </w:tc>
        <w:tc>
          <w:tcPr>
            <w:tcW w:w="4000" w:type="pct"/>
          </w:tcPr>
          <w:p w:rsidR="00B37F08" w:rsidRDefault="00B37F08">
            <w:pPr>
              <w:pStyle w:val="List1"/>
            </w:pPr>
            <w:r>
              <w:t>Criminal Procedure: Right to Counsel</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38" name="Picture 38"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gridSpan w:val="2"/>
          </w:tcPr>
          <w:p w:rsidR="00B37F08" w:rsidRDefault="00B37F08">
            <w:pPr>
              <w:pStyle w:val="Heading4"/>
            </w:pPr>
            <w:r>
              <w:t xml:space="preserve">Facts of the Case </w:t>
            </w:r>
          </w:p>
          <w:p w:rsidR="00B37F08" w:rsidRDefault="00B37F08">
            <w:pPr>
              <w:pStyle w:val="NormalWeb"/>
            </w:pPr>
            <w:r>
              <w:t xml:space="preserve">Gideon was charged in a </w:t>
            </w:r>
            <w:smartTag w:uri="urn:schemas-microsoft-com:office:smarttags" w:element="State">
              <w:smartTag w:uri="urn:schemas-microsoft-com:office:smarttags" w:element="place">
                <w:r>
                  <w:t>Florida</w:t>
                </w:r>
              </w:smartTag>
            </w:smartTag>
            <w:r>
              <w:t xml:space="preserve"> state court with a felony for breaking and entering. He lacked funds and was unable to hire a lawyer to prepare his defense. When he requested the court to appoint an attorney for him, the court refused, stating that it was only obligated to appoint counsel to indigent defendants in capital cases. Gideon defended himself in the trial; he was convicted by a jury and the court sentenced him to five years in a state prison.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39" name="Picture 39"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rHeight w:val="405"/>
          <w:tblCellSpacing w:w="0" w:type="dxa"/>
        </w:trPr>
        <w:tc>
          <w:tcPr>
            <w:tcW w:w="0" w:type="auto"/>
            <w:gridSpan w:val="2"/>
          </w:tcPr>
          <w:p w:rsidR="00B37F08" w:rsidRDefault="00B37F08">
            <w:pPr>
              <w:pStyle w:val="Heading4"/>
            </w:pPr>
            <w:r>
              <w:t xml:space="preserve">Question Presented </w:t>
            </w:r>
          </w:p>
          <w:p w:rsidR="00B37F08" w:rsidRDefault="00B37F08">
            <w:pPr>
              <w:pStyle w:val="NormalWeb"/>
            </w:pPr>
            <w:r>
              <w:t xml:space="preserve">Did the state court's failure to appoint counsel for Gideon violate his right to a fair trial and due process of law as protected by the Sixth and Fourteenth Amendments?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40" name="Picture 40"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rHeight w:val="1080"/>
          <w:tblCellSpacing w:w="0" w:type="dxa"/>
        </w:trPr>
        <w:tc>
          <w:tcPr>
            <w:tcW w:w="0" w:type="auto"/>
            <w:gridSpan w:val="2"/>
          </w:tcPr>
          <w:p w:rsidR="00B37F08" w:rsidRDefault="00B37F08">
            <w:pPr>
              <w:pStyle w:val="Heading4"/>
            </w:pPr>
            <w:r>
              <w:t xml:space="preserve">Conclusion </w:t>
            </w:r>
          </w:p>
          <w:p w:rsidR="00B37F08" w:rsidRDefault="00B37F08">
            <w:pPr>
              <w:pStyle w:val="NormalWeb"/>
            </w:pPr>
            <w:r>
              <w:t xml:space="preserve">In a unanimous opinion, the Court held that Gideon had a right to be represented by a court-appointed attorney and, in doing so, overruled its 1942 decision of Betts v. Brady. In this case the Court found that the Sixth Amendment's guarantee of counsel was a fundamental right, essential to a fair trial, which should be made applicable to the states through the Due Process Clause of the Fourteenth Amendment. Justice Black called it an "obvious truth" that a fair trial for a poor defendant could not be guaranteed without the assistance of counsel. Those familiar with the American system of justice, commented Black, recognized that "lawyers in criminal courts are necessities, not luxuries."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bl>
    <w:p w:rsidR="00B37F08" w:rsidRDefault="00B37F08"/>
    <w:p w:rsidR="00B37F08" w:rsidRDefault="00B37F08" w:rsidP="00B37F08">
      <w:pPr>
        <w:pStyle w:val="Heading1"/>
      </w:pPr>
      <w:r>
        <w:br w:type="page"/>
      </w:r>
      <w:r>
        <w:lastRenderedPageBreak/>
        <w:t xml:space="preserve">Miranda v. </w:t>
      </w:r>
      <w:smartTag w:uri="urn:schemas-microsoft-com:office:smarttags" w:element="State">
        <w:smartTag w:uri="urn:schemas-microsoft-com:office:smarttags" w:element="place">
          <w:r>
            <w:t>Arizona</w:t>
          </w:r>
        </w:smartTag>
      </w:smartTag>
    </w:p>
    <w:p w:rsidR="00B37F08" w:rsidRDefault="00B37F08" w:rsidP="00B37F08">
      <w:pPr>
        <w:pStyle w:val="Heading2"/>
      </w:pPr>
      <w:r>
        <w:t xml:space="preserve">384 </w:t>
      </w:r>
      <w:smartTag w:uri="urn:schemas-microsoft-com:office:smarttags" w:element="country-region">
        <w:smartTag w:uri="urn:schemas-microsoft-com:office:smarttags" w:element="place">
          <w:r>
            <w:t>U.S.</w:t>
          </w:r>
        </w:smartTag>
      </w:smartTag>
      <w:r>
        <w:t xml:space="preserve"> 436 (1966) </w:t>
      </w:r>
    </w:p>
    <w:p w:rsidR="00B37F08" w:rsidRDefault="00B37F08" w:rsidP="00B37F08">
      <w:pPr>
        <w:pStyle w:val="Heading3"/>
      </w:pPr>
      <w:r>
        <w:t>Docket Number: 759</w:t>
      </w:r>
    </w:p>
    <w:p w:rsidR="00B37F08" w:rsidRDefault="00B37F08" w:rsidP="00B37F08">
      <w:pPr>
        <w:pStyle w:val="Heading3"/>
      </w:pPr>
      <w:r>
        <w:t>Abstract</w:t>
      </w:r>
    </w:p>
    <w:p w:rsidR="00B37F08" w:rsidRDefault="00B37F08" w:rsidP="00B37F08">
      <w:pPr>
        <w:pStyle w:val="Heading6"/>
      </w:pPr>
    </w:p>
    <w:tbl>
      <w:tblPr>
        <w:tblW w:w="5000" w:type="pct"/>
        <w:tblCellSpacing w:w="0" w:type="dxa"/>
        <w:tblCellMar>
          <w:left w:w="0" w:type="dxa"/>
          <w:right w:w="0" w:type="dxa"/>
        </w:tblCellMar>
        <w:tblLook w:val="0000" w:firstRow="0" w:lastRow="0" w:firstColumn="0" w:lastColumn="0" w:noHBand="0" w:noVBand="0"/>
      </w:tblPr>
      <w:tblGrid>
        <w:gridCol w:w="2151"/>
        <w:gridCol w:w="8601"/>
        <w:gridCol w:w="6"/>
        <w:gridCol w:w="6"/>
        <w:gridCol w:w="6"/>
        <w:gridCol w:w="6"/>
        <w:gridCol w:w="6"/>
        <w:gridCol w:w="6"/>
        <w:gridCol w:w="6"/>
        <w:gridCol w:w="6"/>
      </w:tblGrid>
      <w:tr w:rsidR="00B37F08">
        <w:trPr>
          <w:tblCellSpacing w:w="0" w:type="dxa"/>
        </w:trPr>
        <w:tc>
          <w:tcPr>
            <w:tcW w:w="0" w:type="auto"/>
            <w:gridSpan w:val="10"/>
            <w:vAlign w:val="center"/>
          </w:tcPr>
          <w:p w:rsidR="00B37F08" w:rsidRDefault="0032080E">
            <w:pPr>
              <w:rPr>
                <w:szCs w:val="24"/>
              </w:rPr>
            </w:pPr>
            <w:r>
              <w:rPr>
                <w:noProof/>
              </w:rPr>
              <w:drawing>
                <wp:inline distT="0" distB="0" distL="0" distR="0">
                  <wp:extent cx="9525" cy="38100"/>
                  <wp:effectExtent l="0" t="0" r="0" b="0"/>
                  <wp:docPr id="41" name="Picture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7"/>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B37F08">
        <w:trPr>
          <w:tblCellSpacing w:w="0" w:type="dxa"/>
        </w:trPr>
        <w:tc>
          <w:tcPr>
            <w:tcW w:w="1000" w:type="pct"/>
          </w:tcPr>
          <w:p w:rsidR="00B37F08" w:rsidRDefault="00B37F08">
            <w:pPr>
              <w:pStyle w:val="List1"/>
            </w:pPr>
            <w:r>
              <w:t>Decided:</w:t>
            </w:r>
          </w:p>
        </w:tc>
        <w:tc>
          <w:tcPr>
            <w:tcW w:w="4000" w:type="pct"/>
          </w:tcPr>
          <w:p w:rsidR="00B37F08" w:rsidRDefault="00B37F08">
            <w:pPr>
              <w:pStyle w:val="List1"/>
            </w:pPr>
            <w:r>
              <w:t>June 13, 1966</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1000" w:type="pct"/>
          </w:tcPr>
          <w:p w:rsidR="00B37F08" w:rsidRDefault="00B37F08">
            <w:pPr>
              <w:pStyle w:val="List1"/>
            </w:pPr>
            <w:r>
              <w:t>Argued:</w:t>
            </w:r>
          </w:p>
        </w:tc>
        <w:tc>
          <w:tcPr>
            <w:tcW w:w="4000" w:type="pct"/>
          </w:tcPr>
          <w:p w:rsidR="00B37F08" w:rsidRDefault="00B37F08">
            <w:pPr>
              <w:pStyle w:val="List1"/>
            </w:pPr>
            <w:r>
              <w:t>February 28, 1966</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vAlign w:val="center"/>
          </w:tcPr>
          <w:p w:rsidR="00B37F08" w:rsidRDefault="00B37F08">
            <w:pPr>
              <w:rPr>
                <w:szCs w:val="24"/>
              </w:rPr>
            </w:pPr>
            <w:r>
              <w:t> </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1000" w:type="pct"/>
          </w:tcPr>
          <w:p w:rsidR="00B37F08" w:rsidRDefault="00B37F08">
            <w:pPr>
              <w:pStyle w:val="Heading4"/>
            </w:pPr>
            <w:r>
              <w:t>Subjects:</w:t>
            </w:r>
          </w:p>
        </w:tc>
        <w:tc>
          <w:tcPr>
            <w:tcW w:w="4000" w:type="pct"/>
          </w:tcPr>
          <w:p w:rsidR="00B37F08" w:rsidRDefault="00B37F08">
            <w:pPr>
              <w:pStyle w:val="List1"/>
            </w:pPr>
            <w:r>
              <w:t>Criminal Procedure: Miranda Warnings</w:t>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42" name="Picture 4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blCellSpacing w:w="0" w:type="dxa"/>
        </w:trPr>
        <w:tc>
          <w:tcPr>
            <w:tcW w:w="0" w:type="auto"/>
            <w:gridSpan w:val="2"/>
          </w:tcPr>
          <w:p w:rsidR="00B37F08" w:rsidRDefault="00B37F08">
            <w:pPr>
              <w:pStyle w:val="Heading4"/>
            </w:pPr>
            <w:r>
              <w:t xml:space="preserve">Facts of the Case </w:t>
            </w:r>
          </w:p>
          <w:p w:rsidR="00B37F08" w:rsidRDefault="00B37F08">
            <w:pPr>
              <w:pStyle w:val="NormalWeb"/>
            </w:pPr>
            <w:r>
              <w:t xml:space="preserve">The Court was called upon to consider the constitutionality of a number of instances, ruled on jointly, in which defendants were questioned "while in custody or otherwise deprived of [their] freedom in any significant way." In </w:t>
            </w:r>
            <w:proofErr w:type="spellStart"/>
            <w:r>
              <w:t>Vignera</w:t>
            </w:r>
            <w:proofErr w:type="spellEnd"/>
            <w:r>
              <w:t xml:space="preserve"> v. </w:t>
            </w:r>
            <w:smartTag w:uri="urn:schemas-microsoft-com:office:smarttags" w:element="State">
              <w:smartTag w:uri="urn:schemas-microsoft-com:office:smarttags" w:element="place">
                <w:r>
                  <w:t>New York</w:t>
                </w:r>
              </w:smartTag>
            </w:smartTag>
            <w:r>
              <w:t xml:space="preserve">, the petitioner was questioned by police, made oral admissions, and signed an </w:t>
            </w:r>
            <w:proofErr w:type="spellStart"/>
            <w:r>
              <w:t>inculpatory</w:t>
            </w:r>
            <w:proofErr w:type="spellEnd"/>
            <w:r>
              <w:t xml:space="preserve"> statement all without being notified of his right to counsel. Similarly, in Westover v. </w:t>
            </w:r>
            <w:smartTag w:uri="urn:schemas-microsoft-com:office:smarttags" w:element="country-region">
              <w:smartTag w:uri="urn:schemas-microsoft-com:office:smarttags" w:element="place">
                <w:r>
                  <w:t>United States</w:t>
                </w:r>
              </w:smartTag>
            </w:smartTag>
            <w:r>
              <w:t xml:space="preserve">, the petitioner was arrested by the FBI, interrogated, and made to sign statements without being notified of his right to counsel. Lastly, in </w:t>
            </w:r>
            <w:smartTag w:uri="urn:schemas-microsoft-com:office:smarttags" w:element="State">
              <w:smartTag w:uri="urn:schemas-microsoft-com:office:smarttags" w:element="place">
                <w:r>
                  <w:t>California</w:t>
                </w:r>
              </w:smartTag>
            </w:smartTag>
            <w:r>
              <w:t xml:space="preserve"> v. Stewart, local police held and interrogated the defendant for five days without notification of his right to counsel. In all these cases, suspects were questioned by police officers, detectives, or prosecuting attorneys in rooms that cut them off from the outside world. In none of the cases were suspects given warnings of their rights at the outset of their interrogation.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r w:rsidR="00B37F08">
        <w:trPr>
          <w:tblCellSpacing w:w="0" w:type="dxa"/>
        </w:trPr>
        <w:tc>
          <w:tcPr>
            <w:tcW w:w="0" w:type="auto"/>
            <w:gridSpan w:val="2"/>
            <w:vAlign w:val="center"/>
          </w:tcPr>
          <w:p w:rsidR="00B37F08" w:rsidRDefault="0032080E">
            <w:pPr>
              <w:rPr>
                <w:szCs w:val="24"/>
              </w:rPr>
            </w:pPr>
            <w:r>
              <w:rPr>
                <w:noProof/>
              </w:rPr>
              <w:drawing>
                <wp:inline distT="0" distB="0" distL="0" distR="0">
                  <wp:extent cx="19050" cy="66675"/>
                  <wp:effectExtent l="0" t="0" r="0" b="0"/>
                  <wp:docPr id="43" name="Picture 43"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lear"/>
                          <pic:cNvPicPr>
                            <a:picLocks noChangeAspect="1" noChangeArrowheads="1"/>
                          </pic:cNvPicPr>
                        </pic:nvPicPr>
                        <pic:blipFill>
                          <a:blip r:embed="rId7"/>
                          <a:srcRect/>
                          <a:stretch>
                            <a:fillRect/>
                          </a:stretch>
                        </pic:blipFill>
                        <pic:spPr bwMode="auto">
                          <a:xfrm>
                            <a:off x="0" y="0"/>
                            <a:ext cx="19050" cy="66675"/>
                          </a:xfrm>
                          <a:prstGeom prst="rect">
                            <a:avLst/>
                          </a:prstGeom>
                          <a:noFill/>
                          <a:ln w="9525">
                            <a:noFill/>
                            <a:miter lim="800000"/>
                            <a:headEnd/>
                            <a:tailEnd/>
                          </a:ln>
                        </pic:spPr>
                      </pic:pic>
                    </a:graphicData>
                  </a:graphic>
                </wp:inline>
              </w:drawing>
            </w: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rHeight w:val="405"/>
          <w:tblCellSpacing w:w="0" w:type="dxa"/>
        </w:trPr>
        <w:tc>
          <w:tcPr>
            <w:tcW w:w="0" w:type="auto"/>
            <w:gridSpan w:val="2"/>
          </w:tcPr>
          <w:p w:rsidR="00B37F08" w:rsidRDefault="00B37F08">
            <w:pPr>
              <w:pStyle w:val="Heading4"/>
            </w:pPr>
            <w:r>
              <w:t xml:space="preserve">Question Presented </w:t>
            </w:r>
          </w:p>
          <w:p w:rsidR="00B37F08" w:rsidRDefault="00B37F08">
            <w:pPr>
              <w:pStyle w:val="NormalWeb"/>
            </w:pPr>
            <w:r>
              <w:t xml:space="preserve">Does the police practice of interrogating individuals without </w:t>
            </w:r>
            <w:r w:rsidR="004D3DBE">
              <w:t>notifying</w:t>
            </w:r>
            <w:r>
              <w:t xml:space="preserve"> them of their right to counsel and their protection against self-incrimination violate the Fifth Amendment?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r w:rsidR="00B37F08">
        <w:trPr>
          <w:tblCellSpacing w:w="0" w:type="dxa"/>
        </w:trPr>
        <w:tc>
          <w:tcPr>
            <w:tcW w:w="0" w:type="auto"/>
            <w:gridSpan w:val="2"/>
            <w:vAlign w:val="center"/>
          </w:tcPr>
          <w:p w:rsidR="00B37F08" w:rsidRDefault="00B37F08">
            <w:pPr>
              <w:rPr>
                <w:szCs w:val="24"/>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c>
          <w:tcPr>
            <w:tcW w:w="0" w:type="auto"/>
            <w:vAlign w:val="center"/>
          </w:tcPr>
          <w:p w:rsidR="00B37F08" w:rsidRDefault="00B37F08">
            <w:pPr>
              <w:rPr>
                <w:sz w:val="20"/>
              </w:rPr>
            </w:pPr>
          </w:p>
        </w:tc>
      </w:tr>
      <w:tr w:rsidR="00B37F08">
        <w:trPr>
          <w:trHeight w:val="1080"/>
          <w:tblCellSpacing w:w="0" w:type="dxa"/>
        </w:trPr>
        <w:tc>
          <w:tcPr>
            <w:tcW w:w="0" w:type="auto"/>
            <w:gridSpan w:val="2"/>
          </w:tcPr>
          <w:p w:rsidR="00B37F08" w:rsidRPr="00B37F08" w:rsidRDefault="00B37F08">
            <w:pPr>
              <w:pStyle w:val="Heading4"/>
              <w:rPr>
                <w:sz w:val="24"/>
                <w:szCs w:val="24"/>
              </w:rPr>
            </w:pPr>
            <w:r w:rsidRPr="00B37F08">
              <w:rPr>
                <w:sz w:val="24"/>
                <w:szCs w:val="24"/>
              </w:rPr>
              <w:t xml:space="preserve">Conclusion </w:t>
            </w:r>
          </w:p>
          <w:p w:rsidR="00B37F08" w:rsidRPr="00B37F08" w:rsidRDefault="00B37F08">
            <w:pPr>
              <w:pStyle w:val="NormalWeb"/>
              <w:rPr>
                <w:sz w:val="22"/>
                <w:szCs w:val="22"/>
              </w:rPr>
            </w:pPr>
            <w:r w:rsidRPr="00B37F08">
              <w:rPr>
                <w:sz w:val="22"/>
                <w:szCs w:val="22"/>
              </w:rPr>
              <w:t xml:space="preserve">The Court held that prosecutors could not use statements stemming from custodial interrogation of defendants unless they demonstrated the use of procedural safeguards "effective to secure the privilege against self-incrimination." The Court noted that "the modern practice of in-custody interrogation is psychologically rather than physically oriented" and that "the blood of the accused is not the only hallmark of an unconstitutional inquisition." The Court specifically outlined the necessary aspects of police warnings to suspects, including warnings of the right to remain silent and the right to have counsel present during interrogations. </w:t>
            </w: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c>
          <w:tcPr>
            <w:tcW w:w="0" w:type="auto"/>
          </w:tcPr>
          <w:p w:rsidR="00B37F08" w:rsidRDefault="00B37F08">
            <w:pPr>
              <w:rPr>
                <w:sz w:val="20"/>
              </w:rPr>
            </w:pPr>
          </w:p>
        </w:tc>
      </w:tr>
    </w:tbl>
    <w:p w:rsidR="00B37F08" w:rsidRDefault="00B37F08"/>
    <w:p w:rsidR="004D3DBE" w:rsidRDefault="004D3DBE"/>
    <w:p w:rsidR="006B1EAB" w:rsidRDefault="006B1EAB">
      <w:r>
        <w:br w:type="page"/>
      </w:r>
    </w:p>
    <w:p w:rsidR="006B1EAB" w:rsidRPr="006B1EAB" w:rsidRDefault="006B1EAB" w:rsidP="006B1EAB">
      <w:pPr>
        <w:pStyle w:val="Heading1"/>
        <w:shd w:val="clear" w:color="auto" w:fill="008ABB"/>
        <w:spacing w:line="810" w:lineRule="atLeast"/>
        <w:rPr>
          <w:b w:val="0"/>
          <w:color w:val="FFFFFF"/>
          <w:sz w:val="63"/>
          <w:szCs w:val="63"/>
        </w:rPr>
      </w:pPr>
      <w:proofErr w:type="spellStart"/>
      <w:r w:rsidRPr="006B1EAB">
        <w:rPr>
          <w:b w:val="0"/>
          <w:bCs/>
          <w:color w:val="FFFFFF"/>
          <w:sz w:val="63"/>
          <w:szCs w:val="63"/>
        </w:rPr>
        <w:lastRenderedPageBreak/>
        <w:t>Obergefell</w:t>
      </w:r>
      <w:proofErr w:type="spellEnd"/>
      <w:r w:rsidRPr="006B1EAB">
        <w:rPr>
          <w:rStyle w:val="apple-converted-space"/>
          <w:b w:val="0"/>
          <w:bCs/>
          <w:color w:val="FFFFFF"/>
          <w:sz w:val="63"/>
          <w:szCs w:val="63"/>
        </w:rPr>
        <w:t> </w:t>
      </w:r>
      <w:proofErr w:type="spellStart"/>
      <w:r w:rsidRPr="006B1EAB">
        <w:rPr>
          <w:rStyle w:val="v"/>
          <w:b w:val="0"/>
          <w:bCs/>
          <w:i/>
          <w:iCs/>
          <w:color w:val="222222"/>
          <w:sz w:val="63"/>
          <w:szCs w:val="63"/>
        </w:rPr>
        <w:t>v.</w:t>
      </w:r>
      <w:r w:rsidRPr="006B1EAB">
        <w:rPr>
          <w:b w:val="0"/>
          <w:bCs/>
          <w:color w:val="FFFFFF"/>
          <w:sz w:val="63"/>
          <w:szCs w:val="63"/>
        </w:rPr>
        <w:t>Hodges</w:t>
      </w:r>
      <w:proofErr w:type="spellEnd"/>
    </w:p>
    <w:p w:rsidR="006B1EAB" w:rsidRPr="006B1EAB" w:rsidRDefault="006B1EAB" w:rsidP="006B1EAB">
      <w:pPr>
        <w:pStyle w:val="Heading3"/>
        <w:shd w:val="clear" w:color="auto" w:fill="EBEBEB"/>
        <w:spacing w:before="0" w:after="0"/>
        <w:rPr>
          <w:caps/>
          <w:color w:val="008ABB"/>
          <w:spacing w:val="41"/>
          <w:sz w:val="15"/>
          <w:szCs w:val="15"/>
        </w:rPr>
      </w:pPr>
      <w:r w:rsidRPr="006B1EAB">
        <w:rPr>
          <w:caps/>
          <w:color w:val="008ABB"/>
          <w:spacing w:val="41"/>
          <w:sz w:val="15"/>
          <w:szCs w:val="15"/>
        </w:rPr>
        <w:t>DOCKET NO.</w:t>
      </w:r>
    </w:p>
    <w:p w:rsidR="006B1EAB" w:rsidRPr="006B1EAB" w:rsidRDefault="006B1EAB" w:rsidP="006B1EAB">
      <w:pPr>
        <w:pStyle w:val="Heading2"/>
        <w:rPr>
          <w:b w:val="0"/>
          <w:bCs w:val="0"/>
          <w:color w:val="222222"/>
          <w:sz w:val="44"/>
          <w:szCs w:val="42"/>
        </w:rPr>
      </w:pPr>
      <w:r w:rsidRPr="006B1EAB">
        <w:rPr>
          <w:color w:val="222222"/>
          <w:sz w:val="18"/>
          <w:szCs w:val="18"/>
          <w:shd w:val="clear" w:color="auto" w:fill="EBEBEB"/>
        </w:rPr>
        <w:t>14-556</w:t>
      </w:r>
    </w:p>
    <w:p w:rsidR="006B1EAB" w:rsidRDefault="006B1EAB" w:rsidP="006B1EAB">
      <w:pPr>
        <w:pStyle w:val="Heading2"/>
        <w:spacing w:line="540" w:lineRule="atLeast"/>
        <w:rPr>
          <w:b w:val="0"/>
          <w:bCs w:val="0"/>
          <w:color w:val="222222"/>
          <w:sz w:val="42"/>
          <w:szCs w:val="42"/>
        </w:rPr>
      </w:pPr>
      <w:r>
        <w:rPr>
          <w:b w:val="0"/>
          <w:bCs w:val="0"/>
          <w:color w:val="222222"/>
          <w:sz w:val="42"/>
          <w:szCs w:val="42"/>
        </w:rPr>
        <w:t>Facts of the case</w:t>
      </w:r>
    </w:p>
    <w:p w:rsidR="006B1EAB" w:rsidRDefault="006B1EAB" w:rsidP="006B1EAB">
      <w:pPr>
        <w:pStyle w:val="NormalWeb"/>
        <w:spacing w:line="360" w:lineRule="atLeast"/>
        <w:rPr>
          <w:rFonts w:ascii="inherit" w:hAnsi="inherit"/>
        </w:rPr>
      </w:pPr>
      <w:r>
        <w:rPr>
          <w:rFonts w:ascii="inherit" w:hAnsi="inherit"/>
        </w:rPr>
        <w:t>Groups of same-sex couples sued their relevant state agencies in Ohio, Michigan, Kentucky, and Tennessee to challenge the constitutionality of those states' bans on same-sex marriage or refusal to recognize legal same-sex marriages that occurred in jurisdictions that provided for such marriages. The plaintiffs in each case argued that the states' statutes violated the Equal Protection Clause and Due Process Clause of the Fourteenth Amendment, and one group of plaintiffs also brought claims under the Civil Rights Act. In all the cases, the trial court found in favor of the plaintiffs. The U.S. Court of Appeals for the Sixth Circuit reversed and held that the states' bans on same-sex marriage and refusal to recognize marriages performed in other states did not violate the couples' Fourteenth Amendment rights to equal protection and due process.</w:t>
      </w:r>
    </w:p>
    <w:p w:rsidR="006B1EAB" w:rsidRDefault="006B1EAB" w:rsidP="006B1EAB">
      <w:pPr>
        <w:pStyle w:val="Heading2"/>
        <w:spacing w:line="540" w:lineRule="atLeast"/>
        <w:rPr>
          <w:rFonts w:ascii="Times New Roman" w:hAnsi="Times New Roman"/>
          <w:b w:val="0"/>
          <w:bCs w:val="0"/>
          <w:color w:val="222222"/>
          <w:sz w:val="42"/>
          <w:szCs w:val="42"/>
        </w:rPr>
      </w:pPr>
      <w:r>
        <w:rPr>
          <w:b w:val="0"/>
          <w:bCs w:val="0"/>
          <w:color w:val="222222"/>
          <w:sz w:val="42"/>
          <w:szCs w:val="42"/>
        </w:rPr>
        <w:t>Question</w:t>
      </w:r>
    </w:p>
    <w:p w:rsidR="006B1EAB" w:rsidRDefault="006B1EAB" w:rsidP="006B1EAB">
      <w:pPr>
        <w:pStyle w:val="NormalWeb"/>
        <w:spacing w:line="360" w:lineRule="atLeast"/>
        <w:rPr>
          <w:rFonts w:ascii="inherit" w:hAnsi="inherit"/>
        </w:rPr>
      </w:pPr>
      <w:r>
        <w:rPr>
          <w:rFonts w:ascii="inherit" w:hAnsi="inherit"/>
        </w:rPr>
        <w:t>(1) Does the Fourteenth Amendment require a state to license a marriage between two people of the same sex?</w:t>
      </w:r>
    </w:p>
    <w:p w:rsidR="006B1EAB" w:rsidRDefault="006B1EAB" w:rsidP="006B1EAB">
      <w:pPr>
        <w:pStyle w:val="NormalWeb"/>
        <w:spacing w:line="360" w:lineRule="atLeast"/>
        <w:rPr>
          <w:rFonts w:ascii="inherit" w:hAnsi="inherit"/>
        </w:rPr>
      </w:pPr>
      <w:r>
        <w:rPr>
          <w:rFonts w:ascii="inherit" w:hAnsi="inherit"/>
        </w:rPr>
        <w:t>(2) Does the Fourteenth Amendment require a state to recognize a marriage between two people of the same sex that was legally licensed and performed in another state?</w:t>
      </w:r>
    </w:p>
    <w:p w:rsidR="006B1EAB" w:rsidRDefault="006B1EAB" w:rsidP="006B1EAB">
      <w:pPr>
        <w:pStyle w:val="Heading2"/>
        <w:spacing w:line="540" w:lineRule="atLeast"/>
        <w:rPr>
          <w:rFonts w:ascii="Times New Roman" w:hAnsi="Times New Roman"/>
          <w:b w:val="0"/>
          <w:bCs w:val="0"/>
          <w:color w:val="222222"/>
          <w:sz w:val="42"/>
          <w:szCs w:val="42"/>
        </w:rPr>
      </w:pPr>
      <w:r>
        <w:rPr>
          <w:b w:val="0"/>
          <w:bCs w:val="0"/>
          <w:color w:val="222222"/>
          <w:sz w:val="42"/>
          <w:szCs w:val="42"/>
        </w:rPr>
        <w:t>Conclusion</w:t>
      </w:r>
    </w:p>
    <w:p w:rsidR="006B1EAB" w:rsidRDefault="006B1EAB" w:rsidP="006B1EAB">
      <w:pPr>
        <w:pStyle w:val="Heading3"/>
        <w:keepNext w:val="0"/>
        <w:numPr>
          <w:ilvl w:val="0"/>
          <w:numId w:val="17"/>
        </w:numPr>
        <w:spacing w:before="0" w:after="0" w:line="360" w:lineRule="atLeast"/>
        <w:ind w:left="0"/>
        <w:textAlignment w:val="center"/>
        <w:rPr>
          <w:caps/>
          <w:color w:val="008ABB"/>
          <w:spacing w:val="41"/>
          <w:sz w:val="15"/>
          <w:szCs w:val="15"/>
        </w:rPr>
      </w:pPr>
      <w:r>
        <w:rPr>
          <w:rStyle w:val="vote"/>
          <w:caps/>
          <w:color w:val="008ABB"/>
          <w:spacing w:val="41"/>
          <w:sz w:val="15"/>
          <w:szCs w:val="15"/>
        </w:rPr>
        <w:t>5–4 DECISION</w:t>
      </w:r>
      <w:r>
        <w:rPr>
          <w:rStyle w:val="apple-converted-space"/>
          <w:caps/>
          <w:color w:val="008ABB"/>
          <w:spacing w:val="41"/>
          <w:sz w:val="15"/>
          <w:szCs w:val="15"/>
        </w:rPr>
        <w:t> </w:t>
      </w:r>
      <w:r>
        <w:rPr>
          <w:rStyle w:val="winner"/>
          <w:caps/>
          <w:color w:val="008ABB"/>
          <w:spacing w:val="41"/>
          <w:sz w:val="15"/>
          <w:szCs w:val="15"/>
        </w:rPr>
        <w:t>FOR OBERGEFELL</w:t>
      </w:r>
      <w:r>
        <w:rPr>
          <w:rStyle w:val="apple-converted-space"/>
          <w:caps/>
          <w:color w:val="008ABB"/>
          <w:spacing w:val="41"/>
          <w:sz w:val="15"/>
          <w:szCs w:val="15"/>
        </w:rPr>
        <w:t> </w:t>
      </w:r>
      <w:r>
        <w:rPr>
          <w:caps/>
          <w:color w:val="008ABB"/>
          <w:spacing w:val="41"/>
          <w:sz w:val="15"/>
          <w:szCs w:val="15"/>
        </w:rPr>
        <w:br/>
      </w:r>
      <w:r>
        <w:rPr>
          <w:rStyle w:val="author"/>
          <w:caps/>
          <w:color w:val="008ABB"/>
          <w:spacing w:val="41"/>
          <w:sz w:val="15"/>
          <w:szCs w:val="15"/>
        </w:rPr>
        <w:t>MAJORITY OPINION BY ANTHONY M. KENNEDY</w:t>
      </w:r>
    </w:p>
    <w:p w:rsidR="006B1EAB" w:rsidRDefault="006B1EAB" w:rsidP="006B1EAB">
      <w:pPr>
        <w:pStyle w:val="holding"/>
        <w:spacing w:line="360" w:lineRule="atLeast"/>
        <w:textAlignment w:val="center"/>
        <w:rPr>
          <w:rFonts w:ascii="Arial" w:hAnsi="Arial" w:cs="Arial"/>
          <w:sz w:val="18"/>
          <w:szCs w:val="18"/>
        </w:rPr>
      </w:pPr>
      <w:r>
        <w:rPr>
          <w:rFonts w:ascii="Arial" w:hAnsi="Arial" w:cs="Arial"/>
          <w:sz w:val="18"/>
          <w:szCs w:val="18"/>
        </w:rPr>
        <w:t>The Fourteenth Amendment requires both marriage licensing and recognition for same-sex couples.</w:t>
      </w:r>
    </w:p>
    <w:p w:rsidR="006B1EAB" w:rsidRDefault="006B1EAB" w:rsidP="006B1EAB">
      <w:pPr>
        <w:pStyle w:val="NormalWeb"/>
        <w:spacing w:line="360" w:lineRule="atLeast"/>
        <w:rPr>
          <w:rFonts w:ascii="inherit" w:hAnsi="inherit"/>
        </w:rPr>
      </w:pPr>
      <w:r>
        <w:rPr>
          <w:rFonts w:ascii="inherit" w:hAnsi="inherit"/>
        </w:rPr>
        <w:t xml:space="preserve">Yes, yes. Justice Anthony M. Kennedy delivered the opinion for the 5-4 majority. The Court held that the Due Process Clause of the Fourteenth Amendment guarantees the right to marry as one of the fundamental liberties it protects, and that analysis applies to same-sex couples in the same manner as it does to opposite-sex couples. Judicial precedent has held that the right to marry is a fundamental liberty because it is inherent to the concept of individual autonomy, it protects the most intimate association between two people, it safeguards children and families by according legal recognition to building a home and raising children, and it has historically been recognized as the keystone of social order. Because there are no differences between a same-sex union and an opposite-sex union with respect to these principles, the exclusion of same-sex couples from the right to marry violates the Due Process Clause of the Fourteenth Amendment. The Equal Protection Clause of the Fourteenth Amendment also guarantees the right of same-sex couples to marry as the denial of that right would deny same-sex couples equal protection under the law. Marriage rights have traditionally been addressed through both parts </w:t>
      </w:r>
      <w:r>
        <w:rPr>
          <w:rFonts w:ascii="inherit" w:hAnsi="inherit"/>
        </w:rPr>
        <w:lastRenderedPageBreak/>
        <w:t>of the Fourteenth Amendment, and the same interrelated principles of liberty and equality apply with equal force to these cases; therefore, the Constitution protects the fundamental right of same-sex couples to marry. The Court also held that the First Amendment protects the rights of religious organizations to adhere to their principles, but it does not allow states to deny same-sex couples the right to marry on the same terms as those for opposite-sex couples.</w:t>
      </w:r>
    </w:p>
    <w:p w:rsidR="006B1EAB" w:rsidRDefault="006B1EAB" w:rsidP="006B1EAB">
      <w:pPr>
        <w:pStyle w:val="NormalWeb"/>
        <w:spacing w:line="360" w:lineRule="atLeast"/>
        <w:rPr>
          <w:rFonts w:ascii="inherit" w:hAnsi="inherit"/>
        </w:rPr>
      </w:pPr>
      <w:r>
        <w:rPr>
          <w:rFonts w:ascii="inherit" w:hAnsi="inherit"/>
        </w:rPr>
        <w:t xml:space="preserve">Chief Justice John G. Roberts, Jr. wrote a dissent in which he argued that, while same-sex marriage might be good and fair policy, the Constitution does not address it, and therefore it is beyond the purview of the Court to decide whether states have to recognize or license such unions. Instead, this issue should be decided by individual state legislatures based on the will of their electorates. The Constitution and judicial precedent clearly protect a right to marry and require states to apply laws regarding marriage equally, but the Court cannot overstep its bounds and engage in judicial policymaking. The precedents regarding the right to marry only strike down unconstitutional limitations on marriage as it has been traditionally defined and government intrusions, and therefore there is no precedential support for making a state alter its definition of marriage. Chief Justice Roberts also argued that the majority opinion relied on an overly expansive reading of the Due Process and Equal Protection Clauses of the Fourteenth Amendment without engaging with the judicial analysis traditionally applied to such claims and while disregarding the proper role of the courts in the democratic process. Justice Antonin Scalia and Justice Clarence Thomas joined in the dissent. In his separate dissent, Justice Scalia wrote that the majority opinion overstepped the bounds of the Court’s authority both by exercising the legislative, rather than judicial, power and by doing so in a realm that the Constitution reserves for the states. Justice Scalia argued that the question of whether same-sex marriage should be recognized is one for the state legislatures, and that for the issue to be decided by unelected judges goes against one of the most basic precepts of the Constitution: that political change should occur through the votes of elected representatives. In taking on this policymaking role, the majority opinion departed from established Fourteenth Amendment jurisprudence to create a right where none exists in the Constitution. Justice Thomas joined in the dissent. Justice Thomas also wrote a separate dissent in which he argued that the majority opinion stretched the doctrine of substantive due process rights found in the Fourteenth Amendment too far and in doing so distorted the democratic process by taking power from the legislature and putting it in the hands of the judiciary. Additionally, the legislative history of the Due Process Clause in both the Fifth and Fourteenth Amendments indicates that they were meant to protect people from physical restraint and from government intervention, but they do not grant </w:t>
      </w:r>
      <w:proofErr w:type="gramStart"/>
      <w:r>
        <w:rPr>
          <w:rFonts w:ascii="inherit" w:hAnsi="inherit"/>
        </w:rPr>
        <w:t>them</w:t>
      </w:r>
      <w:proofErr w:type="gramEnd"/>
      <w:r>
        <w:rPr>
          <w:rFonts w:ascii="inherit" w:hAnsi="inherit"/>
        </w:rPr>
        <w:t xml:space="preserve"> rights to government entitlements. Justice Thomas also argued that the majority opinion impermissibly infringed on religious freedom by legislating from the bench rather than allowing the state legislature to determine how best to address the competing rights and interests at stake. Justice Scalia joined in the dissent. In his separate dissent, Justice Samuel A. Alito, Jr. wrote that the Constitution does not address the right of same-sex couples to marry, and therefore the issue is reserved to the states to decide whether to depart from the traditional definition of marriage. By allowing a majority of the Court to create a new right, the majority opinion dangerously strayed from the democratic process and greatly expanded the power of the judiciary beyond what the Constitution allows. Justice Scalia and Justice Thomas joined in the dissent.</w:t>
      </w:r>
    </w:p>
    <w:p w:rsidR="00FC5E8A" w:rsidRDefault="006B1EAB">
      <w:hyperlink r:id="rId8" w:history="1">
        <w:r w:rsidRPr="005314B0">
          <w:rPr>
            <w:rStyle w:val="Hyperlink"/>
          </w:rPr>
          <w:t>https://www.oyez.org/cases/2014/14-556</w:t>
        </w:r>
      </w:hyperlink>
      <w:r>
        <w:t xml:space="preserve"> </w:t>
      </w:r>
    </w:p>
    <w:p w:rsidR="00FC5E8A" w:rsidRDefault="00FC5E8A"/>
    <w:p w:rsidR="004D3DBE" w:rsidRDefault="004D3DBE"/>
    <w:p w:rsidR="009D0F69" w:rsidRDefault="009D0F69" w:rsidP="009D0F69">
      <w:pPr>
        <w:jc w:val="center"/>
        <w:rPr>
          <w:b/>
          <w:u w:val="single"/>
        </w:rPr>
      </w:pPr>
      <w:r w:rsidRPr="008015B4">
        <w:rPr>
          <w:b/>
          <w:u w:val="single"/>
        </w:rPr>
        <w:t>Same Sex Marriage</w:t>
      </w:r>
    </w:p>
    <w:p w:rsidR="009D0F69" w:rsidRDefault="009D0F69" w:rsidP="009D0F69">
      <w:pPr>
        <w:jc w:val="center"/>
        <w:rPr>
          <w:b/>
          <w:u w:val="single"/>
        </w:rPr>
      </w:pPr>
      <w:r>
        <w:rPr>
          <w:b/>
          <w:u w:val="single"/>
        </w:rPr>
        <w:t>Why Do I Care About Massachusetts and California Judges?</w:t>
      </w:r>
    </w:p>
    <w:p w:rsidR="00040518" w:rsidRDefault="00040518" w:rsidP="009D0F69">
      <w:pPr>
        <w:jc w:val="center"/>
        <w:rPr>
          <w:b/>
          <w:u w:val="single"/>
        </w:rPr>
      </w:pPr>
      <w:r>
        <w:rPr>
          <w:b/>
          <w:u w:val="single"/>
        </w:rPr>
        <w:t xml:space="preserve">What Do Voting Patterns in </w:t>
      </w:r>
      <w:r w:rsidR="00424AB4">
        <w:rPr>
          <w:b/>
          <w:u w:val="single"/>
        </w:rPr>
        <w:t>ME, MD, and WA</w:t>
      </w:r>
      <w:r>
        <w:rPr>
          <w:b/>
          <w:u w:val="single"/>
        </w:rPr>
        <w:t xml:space="preserve"> have to Do </w:t>
      </w:r>
      <w:proofErr w:type="gramStart"/>
      <w:r>
        <w:rPr>
          <w:b/>
          <w:u w:val="single"/>
        </w:rPr>
        <w:t>With</w:t>
      </w:r>
      <w:proofErr w:type="gramEnd"/>
      <w:r>
        <w:rPr>
          <w:b/>
          <w:u w:val="single"/>
        </w:rPr>
        <w:t xml:space="preserve"> Me?</w:t>
      </w:r>
    </w:p>
    <w:p w:rsidR="00424AB4" w:rsidRPr="008015B4" w:rsidRDefault="00424AB4" w:rsidP="009D0F69">
      <w:pPr>
        <w:jc w:val="center"/>
        <w:rPr>
          <w:b/>
          <w:u w:val="single"/>
        </w:rPr>
      </w:pPr>
      <w:r>
        <w:rPr>
          <w:b/>
          <w:u w:val="single"/>
        </w:rPr>
        <w:t>What are The Supremes Up To?</w:t>
      </w:r>
    </w:p>
    <w:p w:rsidR="009D0F69" w:rsidRDefault="009D0F69" w:rsidP="009D0F69">
      <w:pPr>
        <w:ind w:left="360"/>
      </w:pPr>
    </w:p>
    <w:p w:rsidR="009D0F69" w:rsidRPr="00547BBA" w:rsidRDefault="009D0F69" w:rsidP="009D0F69">
      <w:pPr>
        <w:rPr>
          <w:sz w:val="18"/>
          <w:szCs w:val="18"/>
        </w:rPr>
      </w:pPr>
      <w:r>
        <w:rPr>
          <w:sz w:val="18"/>
          <w:szCs w:val="18"/>
        </w:rPr>
        <w:tab/>
      </w:r>
    </w:p>
    <w:p w:rsidR="009D0F69" w:rsidRPr="00836A3F" w:rsidRDefault="009D0F69" w:rsidP="009D0F69">
      <w:pPr>
        <w:numPr>
          <w:ilvl w:val="0"/>
          <w:numId w:val="1"/>
        </w:numPr>
      </w:pPr>
      <w:r w:rsidRPr="00836A3F">
        <w:t>Two Federalism Concepts:</w:t>
      </w:r>
    </w:p>
    <w:p w:rsidR="000859C1" w:rsidRDefault="009D0F69" w:rsidP="00714F4C">
      <w:pPr>
        <w:numPr>
          <w:ilvl w:val="1"/>
          <w:numId w:val="1"/>
        </w:numPr>
      </w:pPr>
      <w:r w:rsidRPr="00836A3F">
        <w:t>Federal Defense of Marriage Act</w:t>
      </w:r>
      <w:r>
        <w:t xml:space="preserve"> </w:t>
      </w:r>
      <w:r w:rsidR="000859C1">
        <w:t xml:space="preserve">of </w:t>
      </w:r>
      <w:r>
        <w:t xml:space="preserve">1996 </w:t>
      </w:r>
      <w:r w:rsidR="000859C1">
        <w:t>defined marriage for federal purposes</w:t>
      </w:r>
    </w:p>
    <w:p w:rsidR="000859C1" w:rsidRDefault="000859C1" w:rsidP="00714F4C">
      <w:pPr>
        <w:numPr>
          <w:ilvl w:val="1"/>
          <w:numId w:val="1"/>
        </w:numPr>
      </w:pPr>
      <w:r>
        <w:t xml:space="preserve">But </w:t>
      </w:r>
      <w:r w:rsidRPr="000859C1">
        <w:rPr>
          <w:u w:val="single"/>
        </w:rPr>
        <w:t xml:space="preserve">states are in charge of </w:t>
      </w:r>
      <w:r>
        <w:rPr>
          <w:u w:val="single"/>
        </w:rPr>
        <w:t>marriage laws and locals issue marriage licenses</w:t>
      </w:r>
      <w:r>
        <w:t>, so…</w:t>
      </w:r>
    </w:p>
    <w:p w:rsidR="009D0F69" w:rsidRPr="00836A3F" w:rsidRDefault="009D0F69" w:rsidP="009D0F69">
      <w:pPr>
        <w:numPr>
          <w:ilvl w:val="1"/>
          <w:numId w:val="1"/>
        </w:numPr>
      </w:pPr>
      <w:r>
        <w:t>State by state responses:</w:t>
      </w:r>
    </w:p>
    <w:p w:rsidR="009D0F69" w:rsidRDefault="009D0F69" w:rsidP="00040518">
      <w:pPr>
        <w:numPr>
          <w:ilvl w:val="2"/>
          <w:numId w:val="1"/>
        </w:numPr>
      </w:pPr>
      <w:r w:rsidRPr="00836A3F">
        <w:t xml:space="preserve">“Mini” DOMA’s in </w:t>
      </w:r>
      <w:r>
        <w:t xml:space="preserve">the states – </w:t>
      </w:r>
    </w:p>
    <w:p w:rsidR="00040518" w:rsidRDefault="00040518" w:rsidP="00040518">
      <w:pPr>
        <w:numPr>
          <w:ilvl w:val="2"/>
          <w:numId w:val="1"/>
        </w:numPr>
      </w:pPr>
      <w:r>
        <w:t>Some by Constitution</w:t>
      </w:r>
      <w:r w:rsidR="000859C1">
        <w:t>al Amendment</w:t>
      </w:r>
    </w:p>
    <w:p w:rsidR="00040518" w:rsidRDefault="00040518" w:rsidP="00040518">
      <w:pPr>
        <w:numPr>
          <w:ilvl w:val="2"/>
          <w:numId w:val="1"/>
        </w:numPr>
      </w:pPr>
      <w:r>
        <w:t>Some by Statute</w:t>
      </w:r>
    </w:p>
    <w:p w:rsidR="00040518" w:rsidRDefault="00040518" w:rsidP="00040518">
      <w:pPr>
        <w:numPr>
          <w:ilvl w:val="1"/>
          <w:numId w:val="1"/>
        </w:numPr>
      </w:pPr>
      <w:r>
        <w:t>Some allow marriage because of Judicial Decisions</w:t>
      </w:r>
    </w:p>
    <w:p w:rsidR="00040518" w:rsidRDefault="00040518" w:rsidP="00040518">
      <w:pPr>
        <w:numPr>
          <w:ilvl w:val="1"/>
          <w:numId w:val="1"/>
        </w:numPr>
      </w:pPr>
      <w:r>
        <w:t xml:space="preserve">Some allow marriage because of Citizen’s Initiative </w:t>
      </w:r>
    </w:p>
    <w:p w:rsidR="00040518" w:rsidRDefault="00040518" w:rsidP="00040518">
      <w:pPr>
        <w:numPr>
          <w:ilvl w:val="1"/>
          <w:numId w:val="1"/>
        </w:numPr>
      </w:pPr>
      <w:r>
        <w:t>Some allow Civil Unions or Domestic Partnerships</w:t>
      </w:r>
    </w:p>
    <w:p w:rsidR="00040518" w:rsidRDefault="00040518" w:rsidP="00040518">
      <w:pPr>
        <w:numPr>
          <w:ilvl w:val="1"/>
          <w:numId w:val="1"/>
        </w:numPr>
      </w:pPr>
      <w:r>
        <w:t xml:space="preserve">In other words, </w:t>
      </w:r>
      <w:r w:rsidR="00424AB4" w:rsidRPr="000859C1">
        <w:rPr>
          <w:u w:val="single"/>
        </w:rPr>
        <w:t>Laboratories of Democracy</w:t>
      </w:r>
      <w:r w:rsidR="00424AB4">
        <w:t xml:space="preserve">, or </w:t>
      </w:r>
      <w:r>
        <w:t>‘all over the map’</w:t>
      </w:r>
      <w:r w:rsidR="00424AB4">
        <w:t xml:space="preserve"> </w:t>
      </w:r>
    </w:p>
    <w:p w:rsidR="00040518" w:rsidRDefault="00040518" w:rsidP="00040518">
      <w:pPr>
        <w:ind w:left="1440"/>
      </w:pPr>
      <w:r>
        <w:t>Which leads us to…</w:t>
      </w:r>
    </w:p>
    <w:p w:rsidR="00040518" w:rsidRDefault="00040518" w:rsidP="00040518">
      <w:pPr>
        <w:ind w:left="1440"/>
      </w:pPr>
    </w:p>
    <w:p w:rsidR="00040518" w:rsidRPr="00836A3F" w:rsidRDefault="00040518" w:rsidP="00040518">
      <w:pPr>
        <w:numPr>
          <w:ilvl w:val="0"/>
          <w:numId w:val="1"/>
        </w:numPr>
      </w:pPr>
      <w:r>
        <w:t>Three</w:t>
      </w:r>
      <w:r w:rsidRPr="00836A3F">
        <w:t xml:space="preserve"> Constitutional Concepts:</w:t>
      </w:r>
    </w:p>
    <w:p w:rsidR="00040518" w:rsidRDefault="00040518" w:rsidP="00040518">
      <w:pPr>
        <w:numPr>
          <w:ilvl w:val="1"/>
          <w:numId w:val="1"/>
        </w:numPr>
      </w:pPr>
      <w:r w:rsidRPr="00836A3F">
        <w:t>F</w:t>
      </w:r>
      <w:r>
        <w:t>ull Faith and Credit (Article 4</w:t>
      </w:r>
      <w:r w:rsidRPr="00836A3F">
        <w:t>)</w:t>
      </w:r>
    </w:p>
    <w:p w:rsidR="00040518" w:rsidRPr="00173F6D" w:rsidRDefault="00040518" w:rsidP="00040518">
      <w:pPr>
        <w:ind w:left="1440"/>
        <w:rPr>
          <w:sz w:val="18"/>
          <w:szCs w:val="18"/>
        </w:rPr>
      </w:pPr>
      <w:r w:rsidRPr="00C917F3">
        <w:rPr>
          <w:rStyle w:val="Strong"/>
          <w:sz w:val="18"/>
          <w:szCs w:val="18"/>
        </w:rPr>
        <w:t>Section 1.</w:t>
      </w:r>
      <w:r>
        <w:rPr>
          <w:rStyle w:val="Strong"/>
          <w:sz w:val="18"/>
          <w:szCs w:val="18"/>
        </w:rPr>
        <w:t xml:space="preserve">  </w:t>
      </w:r>
      <w:r w:rsidRPr="00C917F3">
        <w:rPr>
          <w:sz w:val="18"/>
          <w:szCs w:val="18"/>
        </w:rPr>
        <w:t xml:space="preserve"> Full Faith and Credit shall be given in each State to the public Acts, Records, and judicial Proceedings of every other State. And the Congress may by general Laws prescribe the Manner in which such Acts, Records and Proceedings shall be proved, and the Effect thereof. </w:t>
      </w:r>
      <w:bookmarkStart w:id="1" w:name="4.2"/>
      <w:bookmarkEnd w:id="1"/>
      <w:r>
        <w:rPr>
          <w:sz w:val="18"/>
          <w:szCs w:val="18"/>
        </w:rPr>
        <w:t xml:space="preserve">   </w:t>
      </w:r>
      <w:r w:rsidRPr="00C917F3">
        <w:rPr>
          <w:rStyle w:val="Strong"/>
          <w:sz w:val="18"/>
          <w:szCs w:val="18"/>
        </w:rPr>
        <w:t>Section 2.</w:t>
      </w:r>
      <w:r w:rsidRPr="00C917F3">
        <w:rPr>
          <w:sz w:val="18"/>
          <w:szCs w:val="18"/>
        </w:rPr>
        <w:t xml:space="preserve"> </w:t>
      </w:r>
      <w:r>
        <w:rPr>
          <w:sz w:val="18"/>
          <w:szCs w:val="18"/>
        </w:rPr>
        <w:t xml:space="preserve">  The Citizens of each State </w:t>
      </w:r>
      <w:r w:rsidRPr="00C917F3">
        <w:rPr>
          <w:sz w:val="18"/>
          <w:szCs w:val="18"/>
        </w:rPr>
        <w:t xml:space="preserve">shall be entitled to all Privileges and Immunities of Citizens in the several States. </w:t>
      </w:r>
    </w:p>
    <w:p w:rsidR="00040518" w:rsidRDefault="00040518" w:rsidP="00040518">
      <w:pPr>
        <w:numPr>
          <w:ilvl w:val="1"/>
          <w:numId w:val="1"/>
        </w:numPr>
      </w:pPr>
      <w:r>
        <w:t>Reserved Powers (10th Amendment)</w:t>
      </w:r>
    </w:p>
    <w:p w:rsidR="00040518" w:rsidRPr="00173F6D" w:rsidRDefault="00040518" w:rsidP="00040518">
      <w:pPr>
        <w:ind w:left="1440"/>
        <w:rPr>
          <w:rFonts w:ascii="Arial" w:hAnsi="Arial" w:cs="Arial"/>
          <w:color w:val="000000"/>
          <w:sz w:val="20"/>
        </w:rPr>
      </w:pPr>
      <w:r>
        <w:rPr>
          <w:rStyle w:val="apple-style-span"/>
          <w:rFonts w:ascii="Arial" w:hAnsi="Arial" w:cs="Arial"/>
          <w:color w:val="000000"/>
          <w:sz w:val="20"/>
        </w:rPr>
        <w:t>The powers not delegated to the United States by the Constitution, nor prohibited by it to the States, are reserved to the States respectively, or to the people.</w:t>
      </w:r>
    </w:p>
    <w:p w:rsidR="00040518" w:rsidRDefault="00040518" w:rsidP="00040518">
      <w:pPr>
        <w:numPr>
          <w:ilvl w:val="1"/>
          <w:numId w:val="1"/>
        </w:numPr>
      </w:pPr>
      <w:r w:rsidRPr="00836A3F">
        <w:t>Equal Protection (14th Amendment)</w:t>
      </w:r>
    </w:p>
    <w:p w:rsidR="00040518" w:rsidRDefault="00040518" w:rsidP="00040518">
      <w:pPr>
        <w:ind w:left="1440"/>
        <w:rPr>
          <w:sz w:val="18"/>
          <w:szCs w:val="18"/>
        </w:rPr>
      </w:pPr>
      <w:r w:rsidRPr="00C917F3">
        <w:rPr>
          <w:sz w:val="18"/>
          <w:szCs w:val="18"/>
        </w:rPr>
        <w: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rsidR="00040518" w:rsidRDefault="00040518" w:rsidP="00040518">
      <w:pPr>
        <w:ind w:left="1440"/>
      </w:pPr>
    </w:p>
    <w:p w:rsidR="00C64A94" w:rsidRDefault="00C64A94" w:rsidP="000859C1">
      <w:pPr>
        <w:ind w:left="1440"/>
      </w:pPr>
    </w:p>
    <w:p w:rsidR="00424AB4" w:rsidRPr="00727D52" w:rsidRDefault="000859C1" w:rsidP="00424AB4">
      <w:pPr>
        <w:numPr>
          <w:ilvl w:val="0"/>
          <w:numId w:val="1"/>
        </w:numPr>
      </w:pPr>
      <w:r>
        <w:t>Four</w:t>
      </w:r>
      <w:r w:rsidR="00424AB4" w:rsidRPr="00727D52">
        <w:t xml:space="preserve"> Supreme Questions:</w:t>
      </w:r>
    </w:p>
    <w:p w:rsidR="00424AB4" w:rsidRPr="00727D52" w:rsidRDefault="000859C1" w:rsidP="00424AB4">
      <w:pPr>
        <w:numPr>
          <w:ilvl w:val="1"/>
          <w:numId w:val="1"/>
        </w:numPr>
      </w:pPr>
      <w:r>
        <w:t xml:space="preserve">Q:  </w:t>
      </w:r>
      <w:r w:rsidR="00424AB4" w:rsidRPr="00727D52">
        <w:t>Is the 1996 Federal DOMA constitutional?  (And who will defend it?)</w:t>
      </w:r>
    </w:p>
    <w:p w:rsidR="007A0253" w:rsidRPr="00727D52" w:rsidRDefault="000859C1" w:rsidP="007A0253">
      <w:pPr>
        <w:numPr>
          <w:ilvl w:val="2"/>
          <w:numId w:val="1"/>
        </w:numPr>
      </w:pPr>
      <w:r>
        <w:t xml:space="preserve">A:  </w:t>
      </w:r>
      <w:r w:rsidR="00E1502D" w:rsidRPr="00727D52">
        <w:t>Unconstitutional. The House Republicans stepped in to defend it.</w:t>
      </w:r>
    </w:p>
    <w:p w:rsidR="007A0253" w:rsidRPr="00727D52" w:rsidRDefault="000859C1" w:rsidP="007A0253">
      <w:pPr>
        <w:numPr>
          <w:ilvl w:val="1"/>
          <w:numId w:val="1"/>
        </w:numPr>
      </w:pPr>
      <w:r>
        <w:t xml:space="preserve">Q: </w:t>
      </w:r>
      <w:r w:rsidR="00424AB4" w:rsidRPr="00727D52">
        <w:t>Is California’s Proposition 8</w:t>
      </w:r>
      <w:r w:rsidR="00C64A94" w:rsidRPr="00727D52">
        <w:t xml:space="preserve"> (a citizen initiated Constitutional mini-DOMA)</w:t>
      </w:r>
      <w:r w:rsidR="00424AB4" w:rsidRPr="00727D52">
        <w:t xml:space="preserve"> constitutional?</w:t>
      </w:r>
      <w:r w:rsidR="007A0253" w:rsidRPr="00727D52">
        <w:t xml:space="preserve"> (And who will defend it?)</w:t>
      </w:r>
    </w:p>
    <w:p w:rsidR="007A0253" w:rsidRPr="00727D52" w:rsidRDefault="007A0253" w:rsidP="007A0253">
      <w:pPr>
        <w:numPr>
          <w:ilvl w:val="2"/>
          <w:numId w:val="1"/>
        </w:numPr>
      </w:pPr>
      <w:r w:rsidRPr="00727D52">
        <w:t xml:space="preserve"> </w:t>
      </w:r>
      <w:r w:rsidR="000859C1">
        <w:t xml:space="preserve">A:  </w:t>
      </w:r>
      <w:r w:rsidRPr="00727D52">
        <w:t>The court did not answer because California failed to defend.</w:t>
      </w:r>
    </w:p>
    <w:p w:rsidR="00E1502D" w:rsidRPr="00727D52" w:rsidRDefault="000859C1" w:rsidP="00E1502D">
      <w:pPr>
        <w:numPr>
          <w:ilvl w:val="1"/>
          <w:numId w:val="1"/>
        </w:numPr>
      </w:pPr>
      <w:r>
        <w:t xml:space="preserve">Q: </w:t>
      </w:r>
      <w:r w:rsidR="00E1502D" w:rsidRPr="00727D52">
        <w:t xml:space="preserve">Do gay people/couples deserve </w:t>
      </w:r>
      <w:r w:rsidR="00E1502D" w:rsidRPr="00727D52">
        <w:rPr>
          <w:i/>
        </w:rPr>
        <w:t>strict scrutiny? Intermediate scrutiny?</w:t>
      </w:r>
    </w:p>
    <w:p w:rsidR="00E1502D" w:rsidRDefault="000859C1" w:rsidP="00E1502D">
      <w:pPr>
        <w:numPr>
          <w:ilvl w:val="2"/>
          <w:numId w:val="1"/>
        </w:numPr>
      </w:pPr>
      <w:r>
        <w:t>A:</w:t>
      </w:r>
      <w:r w:rsidR="00D656F3">
        <w:t xml:space="preserve"> </w:t>
      </w:r>
      <w:r w:rsidR="00E1502D" w:rsidRPr="00727D52">
        <w:t>In other words: So you won your court case. Do I have to bake you a cake?</w:t>
      </w:r>
    </w:p>
    <w:p w:rsidR="000859C1" w:rsidRDefault="00D656F3" w:rsidP="000859C1">
      <w:pPr>
        <w:numPr>
          <w:ilvl w:val="1"/>
          <w:numId w:val="1"/>
        </w:numPr>
      </w:pPr>
      <w:r>
        <w:t>Q: What does “Circuit Split” mean?</w:t>
      </w:r>
    </w:p>
    <w:p w:rsidR="00D656F3" w:rsidRDefault="00D656F3" w:rsidP="00D656F3">
      <w:pPr>
        <w:numPr>
          <w:ilvl w:val="2"/>
          <w:numId w:val="1"/>
        </w:numPr>
      </w:pPr>
      <w:r>
        <w:t>A: Differing opinions from Circuit Courts of Appeals, often a reason to grant cert.</w:t>
      </w:r>
    </w:p>
    <w:p w:rsidR="00D656F3" w:rsidRPr="00727D52" w:rsidRDefault="00D656F3" w:rsidP="00D656F3">
      <w:pPr>
        <w:numPr>
          <w:ilvl w:val="2"/>
          <w:numId w:val="1"/>
        </w:numPr>
      </w:pPr>
      <w:r>
        <w:t xml:space="preserve">Which is exactly what happened. </w:t>
      </w:r>
      <w:r w:rsidR="006B1EAB">
        <w:t xml:space="preserve">That’s how </w:t>
      </w:r>
      <w:proofErr w:type="spellStart"/>
      <w:r w:rsidR="006B1EAB">
        <w:t>Obergeffel</w:t>
      </w:r>
      <w:proofErr w:type="spellEnd"/>
      <w:r w:rsidR="006B1EAB">
        <w:t xml:space="preserve"> got to the Supremes</w:t>
      </w:r>
      <w:r>
        <w:t>.</w:t>
      </w:r>
    </w:p>
    <w:p w:rsidR="00424AB4" w:rsidRPr="007A0253" w:rsidRDefault="00424AB4" w:rsidP="007A0253">
      <w:pPr>
        <w:ind w:left="1440"/>
        <w:rPr>
          <w:color w:val="FF0000"/>
        </w:rPr>
      </w:pPr>
    </w:p>
    <w:p w:rsidR="009D0F69" w:rsidRDefault="009D0F69" w:rsidP="009D0F69"/>
    <w:p w:rsidR="006B1EAB" w:rsidRDefault="006B1EAB" w:rsidP="009D0F69"/>
    <w:p w:rsidR="006B1EAB" w:rsidRDefault="006B1EAB" w:rsidP="009D0F69"/>
    <w:p w:rsidR="006B1EAB" w:rsidRDefault="006B1EAB" w:rsidP="009D0F69"/>
    <w:p w:rsidR="006B1EAB" w:rsidRDefault="006B1EAB" w:rsidP="009D0F69"/>
    <w:p w:rsidR="006B1EAB" w:rsidRDefault="006B1EAB" w:rsidP="009D0F69"/>
    <w:p w:rsidR="009D0F69" w:rsidRPr="00D656F3" w:rsidRDefault="009D0F69" w:rsidP="009D0F69">
      <w:pPr>
        <w:rPr>
          <w:sz w:val="26"/>
          <w:u w:val="single"/>
        </w:rPr>
      </w:pPr>
      <w:r w:rsidRPr="00D656F3">
        <w:rPr>
          <w:sz w:val="26"/>
          <w:u w:val="single"/>
        </w:rPr>
        <w:lastRenderedPageBreak/>
        <w:t xml:space="preserve">Same Sex Marriage Info </w:t>
      </w:r>
      <w:proofErr w:type="gramStart"/>
      <w:r w:rsidRPr="00D656F3">
        <w:rPr>
          <w:sz w:val="26"/>
          <w:u w:val="single"/>
        </w:rPr>
        <w:t>From</w:t>
      </w:r>
      <w:proofErr w:type="gramEnd"/>
      <w:r w:rsidRPr="00D656F3">
        <w:rPr>
          <w:sz w:val="26"/>
          <w:u w:val="single"/>
        </w:rPr>
        <w:t xml:space="preserve"> </w:t>
      </w:r>
      <w:r w:rsidR="00D656F3">
        <w:rPr>
          <w:sz w:val="26"/>
          <w:u w:val="single"/>
        </w:rPr>
        <w:t>the National Conference of State Legislatures as of 2/9/15</w:t>
      </w:r>
      <w:r w:rsidRPr="00D656F3">
        <w:rPr>
          <w:sz w:val="26"/>
          <w:u w:val="single"/>
        </w:rPr>
        <w:t>:</w:t>
      </w:r>
    </w:p>
    <w:p w:rsidR="009D0F69" w:rsidRPr="009D0F69" w:rsidRDefault="006B1EAB" w:rsidP="009D0F69">
      <w:pPr>
        <w:pStyle w:val="Heading2"/>
        <w:shd w:val="clear" w:color="auto" w:fill="FFFFFF"/>
        <w:spacing w:before="150" w:after="120" w:line="214" w:lineRule="atLeast"/>
        <w:rPr>
          <w:sz w:val="24"/>
        </w:rPr>
      </w:pPr>
      <w:hyperlink r:id="rId9" w:history="1">
        <w:r w:rsidR="00D656F3" w:rsidRPr="00AD4D9F">
          <w:rPr>
            <w:rStyle w:val="Hyperlink"/>
          </w:rPr>
          <w:t>http://www.ncsl.org/research/human-services/same-sex-marriage-laws.aspx</w:t>
        </w:r>
      </w:hyperlink>
      <w:r w:rsidR="00D656F3">
        <w:t xml:space="preserve"> </w:t>
      </w:r>
      <w:r w:rsidR="009D0F69" w:rsidRPr="009D0F69">
        <w:rPr>
          <w:sz w:val="24"/>
        </w:rPr>
        <w:t xml:space="preserve"> </w:t>
      </w:r>
    </w:p>
    <w:p w:rsidR="00D656F3" w:rsidRPr="00D656F3" w:rsidRDefault="00D656F3" w:rsidP="00D656F3">
      <w:pPr>
        <w:shd w:val="clear" w:color="auto" w:fill="FFFFFF"/>
        <w:spacing w:after="270" w:line="270" w:lineRule="atLeast"/>
        <w:textAlignment w:val="top"/>
        <w:rPr>
          <w:rFonts w:ascii="Arial" w:hAnsi="Arial" w:cs="Arial"/>
          <w:color w:val="444444"/>
          <w:szCs w:val="26"/>
        </w:rPr>
      </w:pPr>
      <w:r w:rsidRPr="00D656F3">
        <w:rPr>
          <w:rFonts w:ascii="Arial" w:hAnsi="Arial" w:cs="Arial"/>
          <w:b/>
          <w:bCs/>
          <w:color w:val="444444"/>
          <w:sz w:val="28"/>
          <w:szCs w:val="18"/>
        </w:rPr>
        <w:t>L</w:t>
      </w:r>
      <w:r w:rsidRPr="00D656F3">
        <w:rPr>
          <w:rFonts w:ascii="Arial" w:hAnsi="Arial" w:cs="Arial"/>
          <w:b/>
          <w:bCs/>
          <w:color w:val="444444"/>
          <w:szCs w:val="26"/>
        </w:rPr>
        <w:t>atest Development:</w:t>
      </w:r>
      <w:r w:rsidRPr="00D656F3">
        <w:rPr>
          <w:rFonts w:ascii="Arial" w:hAnsi="Arial" w:cs="Arial"/>
          <w:color w:val="444444"/>
          <w:szCs w:val="26"/>
        </w:rPr>
        <w:t xml:space="preserve"> Alabama is the latest state to allow same-sex marriage. A U.S. district judge ruled the state's ban unconstitutional in January, but put the decision on hold to allow the state to prepare. The state requested the hold be extended, but the U.S. Supreme Court refused to do so.</w:t>
      </w:r>
    </w:p>
    <w:p w:rsidR="00D656F3" w:rsidRPr="00D656F3" w:rsidRDefault="00D656F3" w:rsidP="00D656F3">
      <w:pPr>
        <w:shd w:val="clear" w:color="auto" w:fill="FFFFFF"/>
        <w:spacing w:after="270" w:line="270" w:lineRule="atLeast"/>
        <w:textAlignment w:val="top"/>
        <w:rPr>
          <w:rFonts w:ascii="Arial" w:hAnsi="Arial" w:cs="Arial"/>
          <w:color w:val="444444"/>
          <w:szCs w:val="26"/>
        </w:rPr>
      </w:pPr>
      <w:r w:rsidRPr="00D656F3">
        <w:rPr>
          <w:rFonts w:ascii="Arial" w:hAnsi="Arial" w:cs="Arial"/>
          <w:color w:val="444444"/>
          <w:szCs w:val="26"/>
        </w:rPr>
        <w:t>State legislatures, voters and more recently the courts have made sweeping changes over the past two decades in laws defining whether marriage is limited to relationships between a man and a woman or is extended to same-sex couples. Before the U.S. Supreme Court ruling on Oct. 6, 2014, declining to hear cases on same-sex marriage, 31 states had either constitutional or statutory provisions that explicitly defined marriage as between a man and a woman and just 19 states and the District of Columbia allowed same-sex marriage. Now, at least 36 states and D.C. recognize same-sex marriage.</w:t>
      </w:r>
    </w:p>
    <w:p w:rsidR="00D656F3" w:rsidRPr="00D656F3" w:rsidRDefault="00D656F3" w:rsidP="00D656F3">
      <w:pPr>
        <w:shd w:val="clear" w:color="auto" w:fill="FFFFFF"/>
        <w:spacing w:after="270" w:line="270" w:lineRule="atLeast"/>
        <w:textAlignment w:val="top"/>
        <w:rPr>
          <w:rFonts w:ascii="Arial" w:hAnsi="Arial" w:cs="Arial"/>
          <w:color w:val="444444"/>
          <w:szCs w:val="26"/>
        </w:rPr>
      </w:pPr>
      <w:r w:rsidRPr="00D656F3">
        <w:rPr>
          <w:rFonts w:ascii="Arial" w:hAnsi="Arial" w:cs="Arial"/>
          <w:color w:val="444444"/>
          <w:szCs w:val="26"/>
        </w:rPr>
        <w:t>The status of same-sex marriage remains in flux. All states have some court case pending on the topic. Five of those states’ cases were pending before the U.S. Supreme Court. The Supreme Court decided not to hear the cases, thereby allowing the decisions from the 4th, 7th and 10th U.S. Circuit Courts of Appeal to stand. That meant same-sex couples could marry in five more states—Indiana, Oklahoma, Utah, Virginia and Wisconsin. The following day, the 9th U.S. Circuit Court of Appeals struck down same-sex marriage bans in Nevada and Idaho.</w:t>
      </w:r>
    </w:p>
    <w:p w:rsidR="00D656F3" w:rsidRPr="00D656F3" w:rsidRDefault="00D656F3" w:rsidP="00D656F3">
      <w:pPr>
        <w:shd w:val="clear" w:color="auto" w:fill="FFFFFF"/>
        <w:spacing w:after="270" w:line="270" w:lineRule="atLeast"/>
        <w:textAlignment w:val="top"/>
        <w:rPr>
          <w:rFonts w:ascii="Arial" w:hAnsi="Arial" w:cs="Arial"/>
          <w:color w:val="444444"/>
          <w:szCs w:val="26"/>
        </w:rPr>
      </w:pPr>
      <w:r w:rsidRPr="00D656F3">
        <w:rPr>
          <w:rFonts w:ascii="Arial" w:hAnsi="Arial" w:cs="Arial"/>
          <w:color w:val="444444"/>
          <w:szCs w:val="26"/>
        </w:rPr>
        <w:t>Two days later, West Virginia’s attorney general stopped his defense of that state’s ban. Colorado’s attorney general said the 10th U.S. Circuit Court of Appeals decision invalidates that state’s ban. In North Carolina, a federal judge ruled that state’s ban unconstitutional, applying the 4th U.S. Circuit Court of Appeals ruling. Alaska's appeal was refused by the Supreme Court and a federal district judge ruled Arizona's ban unconstitutional and the attorney general said he would not appeal the decision. Wyoming is the latest state where the attorney general has decided not to appeal a federal district court judge ruling the state’s ban unconstitutional. The U.S. Supreme Court on Nov. 12, 2014, lifted its hold on issuing same-sex marriage licenses in Kansas. A South Carolina state Supreme Court and federal judge in Montana are the latest to rule overturning same-sex marriage bans. On Jan. 6, 2015, the state of Florida will begin allowing same-sex marriage after a district judge ruled the ban unconstitutional and the U.S. Supreme Court refused to grant the state’s attorney general a stay on the decision. On February 9, 2015 Alabama began issuing same-sex marriage licenses after a U.S. district judge ruled the state's ban unconstitutional. The judge put the January decision on hold to allow the state to prepare. The state requested the hold be extended, but the U.S. Supreme Court refused to do so. With these changes, at least 37 states and D.C. recognize same-sex marriage.</w:t>
      </w:r>
    </w:p>
    <w:p w:rsidR="00D656F3" w:rsidRPr="00D656F3" w:rsidRDefault="00D656F3" w:rsidP="00D656F3">
      <w:pPr>
        <w:shd w:val="clear" w:color="auto" w:fill="FFFFFF"/>
        <w:spacing w:line="270" w:lineRule="atLeast"/>
        <w:textAlignment w:val="top"/>
        <w:rPr>
          <w:rFonts w:ascii="Arial" w:hAnsi="Arial" w:cs="Arial"/>
          <w:color w:val="444444"/>
          <w:szCs w:val="26"/>
        </w:rPr>
      </w:pPr>
      <w:r w:rsidRPr="00D656F3">
        <w:rPr>
          <w:rFonts w:ascii="Arial" w:hAnsi="Arial" w:cs="Arial"/>
          <w:color w:val="444444"/>
          <w:szCs w:val="26"/>
        </w:rPr>
        <w:t>There is also a federal appeals court ruling to uphold states' ban on same-sex marriage. On Nov. 6, 2014, a federal appeals court judge in the 6th U.S. Circuit upheld four states' bans on same-sex marriage. The opinion upholds bans in Kentucky, Michigan, Ohio, and Tennessee. The decision is the first by a federal appeals court to uphold the bans. The U.S. Supreme Court has agreed to hear the four cases. The court is expected to hear arguments in April and make a decision in June.</w:t>
      </w:r>
    </w:p>
    <w:p w:rsidR="00D868B6" w:rsidRDefault="00D868B6" w:rsidP="00D656F3">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p>
    <w:p w:rsidR="009E56D2" w:rsidRDefault="009E56D2" w:rsidP="00D656F3">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p>
    <w:p w:rsidR="009E56D2" w:rsidRDefault="009E56D2" w:rsidP="00D656F3">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p>
    <w:p w:rsidR="009E56D2" w:rsidRDefault="009E56D2" w:rsidP="00D656F3">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p>
    <w:p w:rsidR="009E56D2" w:rsidRDefault="009E56D2" w:rsidP="00D656F3">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p>
    <w:p w:rsidR="009E56D2" w:rsidRDefault="009E56D2" w:rsidP="00D656F3">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p>
    <w:p w:rsidR="009E56D2" w:rsidRDefault="009E56D2" w:rsidP="00D656F3">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p>
    <w:p w:rsidR="009E56D2" w:rsidRDefault="009E56D2" w:rsidP="00D656F3">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p>
    <w:p w:rsidR="009E56D2" w:rsidRPr="003F4EF3" w:rsidRDefault="009E56D2" w:rsidP="00D656F3">
      <w:pPr>
        <w:pStyle w:val="NormalWeb"/>
        <w:shd w:val="clear" w:color="auto" w:fill="FFFFFF"/>
        <w:spacing w:before="0" w:beforeAutospacing="0" w:after="0" w:afterAutospacing="0" w:line="294" w:lineRule="atLeast"/>
        <w:textAlignment w:val="baseline"/>
        <w:rPr>
          <w:rFonts w:ascii="Arial" w:hAnsi="Arial" w:cs="Arial"/>
          <w:color w:val="000000"/>
          <w:sz w:val="21"/>
          <w:szCs w:val="21"/>
        </w:rPr>
      </w:pPr>
      <w:r>
        <w:rPr>
          <w:rFonts w:ascii="Arial" w:hAnsi="Arial" w:cs="Arial"/>
          <w:noProof/>
          <w:color w:val="444444"/>
          <w:sz w:val="18"/>
          <w:szCs w:val="18"/>
        </w:rPr>
        <w:lastRenderedPageBreak/>
        <w:drawing>
          <wp:inline distT="0" distB="0" distL="0" distR="0">
            <wp:extent cx="6858000" cy="5460882"/>
            <wp:effectExtent l="0" t="0" r="0" b="6985"/>
            <wp:docPr id="45" name="Picture 45" descr="50-stat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state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5460882"/>
                    </a:xfrm>
                    <a:prstGeom prst="rect">
                      <a:avLst/>
                    </a:prstGeom>
                    <a:noFill/>
                    <a:ln>
                      <a:noFill/>
                    </a:ln>
                  </pic:spPr>
                </pic:pic>
              </a:graphicData>
            </a:graphic>
          </wp:inline>
        </w:drawing>
      </w:r>
    </w:p>
    <w:sectPr w:rsidR="009E56D2" w:rsidRPr="003F4EF3" w:rsidSect="00917A46">
      <w:type w:val="continuous"/>
      <w:pgSz w:w="12240" w:h="15840" w:code="1"/>
      <w:pgMar w:top="720" w:right="720" w:bottom="720" w:left="720" w:header="108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D6FA6E"/>
    <w:lvl w:ilvl="0">
      <w:numFmt w:val="bullet"/>
      <w:lvlText w:val="*"/>
      <w:lvlJc w:val="left"/>
    </w:lvl>
  </w:abstractNum>
  <w:abstractNum w:abstractNumId="1">
    <w:nsid w:val="05A77F94"/>
    <w:multiLevelType w:val="hybridMultilevel"/>
    <w:tmpl w:val="AE243200"/>
    <w:lvl w:ilvl="0" w:tplc="9B14D316">
      <w:start w:val="1"/>
      <w:numFmt w:val="bullet"/>
      <w:lvlText w:val="•"/>
      <w:lvlJc w:val="left"/>
      <w:pPr>
        <w:tabs>
          <w:tab w:val="num" w:pos="720"/>
        </w:tabs>
        <w:ind w:left="720" w:hanging="360"/>
      </w:pPr>
      <w:rPr>
        <w:rFonts w:ascii="Times New Roman" w:hAnsi="Times New Roman" w:hint="default"/>
      </w:rPr>
    </w:lvl>
    <w:lvl w:ilvl="1" w:tplc="705013A4">
      <w:start w:val="164"/>
      <w:numFmt w:val="bullet"/>
      <w:lvlText w:val="–"/>
      <w:lvlJc w:val="left"/>
      <w:pPr>
        <w:tabs>
          <w:tab w:val="num" w:pos="1440"/>
        </w:tabs>
        <w:ind w:left="1440" w:hanging="360"/>
      </w:pPr>
      <w:rPr>
        <w:rFonts w:ascii="Times New Roman" w:hAnsi="Times New Roman" w:hint="default"/>
      </w:rPr>
    </w:lvl>
    <w:lvl w:ilvl="2" w:tplc="E83833F4">
      <w:start w:val="164"/>
      <w:numFmt w:val="bullet"/>
      <w:lvlText w:val="•"/>
      <w:lvlJc w:val="left"/>
      <w:pPr>
        <w:tabs>
          <w:tab w:val="num" w:pos="2160"/>
        </w:tabs>
        <w:ind w:left="2160" w:hanging="360"/>
      </w:pPr>
      <w:rPr>
        <w:rFonts w:ascii="Times New Roman" w:hAnsi="Times New Roman" w:hint="default"/>
      </w:rPr>
    </w:lvl>
    <w:lvl w:ilvl="3" w:tplc="8B62BE40" w:tentative="1">
      <w:start w:val="1"/>
      <w:numFmt w:val="bullet"/>
      <w:lvlText w:val="•"/>
      <w:lvlJc w:val="left"/>
      <w:pPr>
        <w:tabs>
          <w:tab w:val="num" w:pos="2880"/>
        </w:tabs>
        <w:ind w:left="2880" w:hanging="360"/>
      </w:pPr>
      <w:rPr>
        <w:rFonts w:ascii="Times New Roman" w:hAnsi="Times New Roman" w:hint="default"/>
      </w:rPr>
    </w:lvl>
    <w:lvl w:ilvl="4" w:tplc="32E4AFC6" w:tentative="1">
      <w:start w:val="1"/>
      <w:numFmt w:val="bullet"/>
      <w:lvlText w:val="•"/>
      <w:lvlJc w:val="left"/>
      <w:pPr>
        <w:tabs>
          <w:tab w:val="num" w:pos="3600"/>
        </w:tabs>
        <w:ind w:left="3600" w:hanging="360"/>
      </w:pPr>
      <w:rPr>
        <w:rFonts w:ascii="Times New Roman" w:hAnsi="Times New Roman" w:hint="default"/>
      </w:rPr>
    </w:lvl>
    <w:lvl w:ilvl="5" w:tplc="C870F8B0" w:tentative="1">
      <w:start w:val="1"/>
      <w:numFmt w:val="bullet"/>
      <w:lvlText w:val="•"/>
      <w:lvlJc w:val="left"/>
      <w:pPr>
        <w:tabs>
          <w:tab w:val="num" w:pos="4320"/>
        </w:tabs>
        <w:ind w:left="4320" w:hanging="360"/>
      </w:pPr>
      <w:rPr>
        <w:rFonts w:ascii="Times New Roman" w:hAnsi="Times New Roman" w:hint="default"/>
      </w:rPr>
    </w:lvl>
    <w:lvl w:ilvl="6" w:tplc="1158C48C" w:tentative="1">
      <w:start w:val="1"/>
      <w:numFmt w:val="bullet"/>
      <w:lvlText w:val="•"/>
      <w:lvlJc w:val="left"/>
      <w:pPr>
        <w:tabs>
          <w:tab w:val="num" w:pos="5040"/>
        </w:tabs>
        <w:ind w:left="5040" w:hanging="360"/>
      </w:pPr>
      <w:rPr>
        <w:rFonts w:ascii="Times New Roman" w:hAnsi="Times New Roman" w:hint="default"/>
      </w:rPr>
    </w:lvl>
    <w:lvl w:ilvl="7" w:tplc="CE563D22" w:tentative="1">
      <w:start w:val="1"/>
      <w:numFmt w:val="bullet"/>
      <w:lvlText w:val="•"/>
      <w:lvlJc w:val="left"/>
      <w:pPr>
        <w:tabs>
          <w:tab w:val="num" w:pos="5760"/>
        </w:tabs>
        <w:ind w:left="5760" w:hanging="360"/>
      </w:pPr>
      <w:rPr>
        <w:rFonts w:ascii="Times New Roman" w:hAnsi="Times New Roman" w:hint="default"/>
      </w:rPr>
    </w:lvl>
    <w:lvl w:ilvl="8" w:tplc="B1FED18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BB7494"/>
    <w:multiLevelType w:val="multilevel"/>
    <w:tmpl w:val="304A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135B2"/>
    <w:multiLevelType w:val="multilevel"/>
    <w:tmpl w:val="654E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7319F"/>
    <w:multiLevelType w:val="multilevel"/>
    <w:tmpl w:val="C5DC0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E131C"/>
    <w:multiLevelType w:val="multilevel"/>
    <w:tmpl w:val="827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22576"/>
    <w:multiLevelType w:val="hybridMultilevel"/>
    <w:tmpl w:val="D58CD762"/>
    <w:lvl w:ilvl="0" w:tplc="6AC22370">
      <w:start w:val="1"/>
      <w:numFmt w:val="bullet"/>
      <w:lvlText w:val=""/>
      <w:lvlJc w:val="left"/>
      <w:pPr>
        <w:tabs>
          <w:tab w:val="num" w:pos="720"/>
        </w:tabs>
        <w:ind w:left="720" w:hanging="360"/>
      </w:pPr>
      <w:rPr>
        <w:rFonts w:ascii="Wingdings" w:hAnsi="Wingdings" w:hint="default"/>
      </w:rPr>
    </w:lvl>
    <w:lvl w:ilvl="1" w:tplc="C742C4E6">
      <w:start w:val="1705"/>
      <w:numFmt w:val="bullet"/>
      <w:lvlText w:val=""/>
      <w:lvlJc w:val="left"/>
      <w:pPr>
        <w:tabs>
          <w:tab w:val="num" w:pos="1440"/>
        </w:tabs>
        <w:ind w:left="1440" w:hanging="360"/>
      </w:pPr>
      <w:rPr>
        <w:rFonts w:ascii="Wingdings" w:hAnsi="Wingdings" w:hint="default"/>
      </w:rPr>
    </w:lvl>
    <w:lvl w:ilvl="2" w:tplc="4212FE5C">
      <w:start w:val="1"/>
      <w:numFmt w:val="bullet"/>
      <w:lvlText w:val=""/>
      <w:lvlJc w:val="left"/>
      <w:pPr>
        <w:tabs>
          <w:tab w:val="num" w:pos="2160"/>
        </w:tabs>
        <w:ind w:left="2160" w:hanging="360"/>
      </w:pPr>
      <w:rPr>
        <w:rFonts w:ascii="Wingdings" w:hAnsi="Wingdings" w:hint="default"/>
      </w:rPr>
    </w:lvl>
    <w:lvl w:ilvl="3" w:tplc="AD8C7888">
      <w:start w:val="1"/>
      <w:numFmt w:val="bullet"/>
      <w:lvlText w:val=""/>
      <w:lvlJc w:val="left"/>
      <w:pPr>
        <w:tabs>
          <w:tab w:val="num" w:pos="2880"/>
        </w:tabs>
        <w:ind w:left="2880" w:hanging="360"/>
      </w:pPr>
      <w:rPr>
        <w:rFonts w:ascii="Wingdings" w:hAnsi="Wingdings" w:hint="default"/>
      </w:rPr>
    </w:lvl>
    <w:lvl w:ilvl="4" w:tplc="85B04038" w:tentative="1">
      <w:start w:val="1"/>
      <w:numFmt w:val="bullet"/>
      <w:lvlText w:val=""/>
      <w:lvlJc w:val="left"/>
      <w:pPr>
        <w:tabs>
          <w:tab w:val="num" w:pos="3600"/>
        </w:tabs>
        <w:ind w:left="3600" w:hanging="360"/>
      </w:pPr>
      <w:rPr>
        <w:rFonts w:ascii="Wingdings" w:hAnsi="Wingdings" w:hint="default"/>
      </w:rPr>
    </w:lvl>
    <w:lvl w:ilvl="5" w:tplc="EFB8F3FC" w:tentative="1">
      <w:start w:val="1"/>
      <w:numFmt w:val="bullet"/>
      <w:lvlText w:val=""/>
      <w:lvlJc w:val="left"/>
      <w:pPr>
        <w:tabs>
          <w:tab w:val="num" w:pos="4320"/>
        </w:tabs>
        <w:ind w:left="4320" w:hanging="360"/>
      </w:pPr>
      <w:rPr>
        <w:rFonts w:ascii="Wingdings" w:hAnsi="Wingdings" w:hint="default"/>
      </w:rPr>
    </w:lvl>
    <w:lvl w:ilvl="6" w:tplc="BD145706" w:tentative="1">
      <w:start w:val="1"/>
      <w:numFmt w:val="bullet"/>
      <w:lvlText w:val=""/>
      <w:lvlJc w:val="left"/>
      <w:pPr>
        <w:tabs>
          <w:tab w:val="num" w:pos="5040"/>
        </w:tabs>
        <w:ind w:left="5040" w:hanging="360"/>
      </w:pPr>
      <w:rPr>
        <w:rFonts w:ascii="Wingdings" w:hAnsi="Wingdings" w:hint="default"/>
      </w:rPr>
    </w:lvl>
    <w:lvl w:ilvl="7" w:tplc="DB724FB4" w:tentative="1">
      <w:start w:val="1"/>
      <w:numFmt w:val="bullet"/>
      <w:lvlText w:val=""/>
      <w:lvlJc w:val="left"/>
      <w:pPr>
        <w:tabs>
          <w:tab w:val="num" w:pos="5760"/>
        </w:tabs>
        <w:ind w:left="5760" w:hanging="360"/>
      </w:pPr>
      <w:rPr>
        <w:rFonts w:ascii="Wingdings" w:hAnsi="Wingdings" w:hint="default"/>
      </w:rPr>
    </w:lvl>
    <w:lvl w:ilvl="8" w:tplc="2CDA17A6" w:tentative="1">
      <w:start w:val="1"/>
      <w:numFmt w:val="bullet"/>
      <w:lvlText w:val=""/>
      <w:lvlJc w:val="left"/>
      <w:pPr>
        <w:tabs>
          <w:tab w:val="num" w:pos="6480"/>
        </w:tabs>
        <w:ind w:left="6480" w:hanging="360"/>
      </w:pPr>
      <w:rPr>
        <w:rFonts w:ascii="Wingdings" w:hAnsi="Wingdings" w:hint="default"/>
      </w:rPr>
    </w:lvl>
  </w:abstractNum>
  <w:abstractNum w:abstractNumId="7">
    <w:nsid w:val="40F54564"/>
    <w:multiLevelType w:val="multilevel"/>
    <w:tmpl w:val="7B54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0D7220"/>
    <w:multiLevelType w:val="multilevel"/>
    <w:tmpl w:val="F5F8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016C80"/>
    <w:multiLevelType w:val="multilevel"/>
    <w:tmpl w:val="96AA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3255BD"/>
    <w:multiLevelType w:val="multilevel"/>
    <w:tmpl w:val="F1DE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606AB"/>
    <w:multiLevelType w:val="hybridMultilevel"/>
    <w:tmpl w:val="92B4823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4D348E"/>
    <w:multiLevelType w:val="multilevel"/>
    <w:tmpl w:val="8B4A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4">
    <w:abstractNumId w:val="0"/>
    <w:lvlOverride w:ilvl="0">
      <w:lvl w:ilvl="0">
        <w:numFmt w:val="bullet"/>
        <w:lvlText w:val="–"/>
        <w:legacy w:legacy="1" w:legacySpace="0" w:legacyIndent="0"/>
        <w:lvlJc w:val="left"/>
        <w:rPr>
          <w:rFonts w:ascii="Times New Roman" w:hAnsi="Times New Roman" w:cs="Times New Roman" w:hint="default"/>
          <w:sz w:val="20"/>
        </w:rPr>
      </w:lvl>
    </w:lvlOverride>
  </w:num>
  <w:num w:numId="5">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6">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7">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8">
    <w:abstractNumId w:val="1"/>
  </w:num>
  <w:num w:numId="9">
    <w:abstractNumId w:val="11"/>
  </w:num>
  <w:num w:numId="10">
    <w:abstractNumId w:val="12"/>
  </w:num>
  <w:num w:numId="11">
    <w:abstractNumId w:val="5"/>
  </w:num>
  <w:num w:numId="12">
    <w:abstractNumId w:val="8"/>
  </w:num>
  <w:num w:numId="13">
    <w:abstractNumId w:val="2"/>
  </w:num>
  <w:num w:numId="14">
    <w:abstractNumId w:val="7"/>
  </w:num>
  <w:num w:numId="15">
    <w:abstractNumId w:val="4"/>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2F"/>
    <w:rsid w:val="0003352F"/>
    <w:rsid w:val="00040518"/>
    <w:rsid w:val="000859C1"/>
    <w:rsid w:val="0010217B"/>
    <w:rsid w:val="001553FC"/>
    <w:rsid w:val="00173F6D"/>
    <w:rsid w:val="001A6CAA"/>
    <w:rsid w:val="001F34E2"/>
    <w:rsid w:val="0032080E"/>
    <w:rsid w:val="003571C5"/>
    <w:rsid w:val="003F4EF3"/>
    <w:rsid w:val="00424AB4"/>
    <w:rsid w:val="004352E3"/>
    <w:rsid w:val="004D3DBE"/>
    <w:rsid w:val="004E361B"/>
    <w:rsid w:val="00520B74"/>
    <w:rsid w:val="00547BBA"/>
    <w:rsid w:val="005621EC"/>
    <w:rsid w:val="00563416"/>
    <w:rsid w:val="005A5D6C"/>
    <w:rsid w:val="005B1E9D"/>
    <w:rsid w:val="006B1EAB"/>
    <w:rsid w:val="00727D52"/>
    <w:rsid w:val="00750678"/>
    <w:rsid w:val="007A0253"/>
    <w:rsid w:val="008015B4"/>
    <w:rsid w:val="0081015B"/>
    <w:rsid w:val="00836A3F"/>
    <w:rsid w:val="00911E0A"/>
    <w:rsid w:val="00917A46"/>
    <w:rsid w:val="009A0E84"/>
    <w:rsid w:val="009D0F69"/>
    <w:rsid w:val="009E56D2"/>
    <w:rsid w:val="00A22274"/>
    <w:rsid w:val="00A6664C"/>
    <w:rsid w:val="00A762FD"/>
    <w:rsid w:val="00AC3307"/>
    <w:rsid w:val="00B37F08"/>
    <w:rsid w:val="00B529D6"/>
    <w:rsid w:val="00B83013"/>
    <w:rsid w:val="00BA0EDC"/>
    <w:rsid w:val="00BA207C"/>
    <w:rsid w:val="00BC2213"/>
    <w:rsid w:val="00BD04FE"/>
    <w:rsid w:val="00C64A94"/>
    <w:rsid w:val="00C917F3"/>
    <w:rsid w:val="00CF7CA9"/>
    <w:rsid w:val="00D032B8"/>
    <w:rsid w:val="00D27A09"/>
    <w:rsid w:val="00D656F3"/>
    <w:rsid w:val="00D84560"/>
    <w:rsid w:val="00D868B6"/>
    <w:rsid w:val="00DA56C2"/>
    <w:rsid w:val="00DB2EB3"/>
    <w:rsid w:val="00E1502D"/>
    <w:rsid w:val="00EB0F69"/>
    <w:rsid w:val="00F379E5"/>
    <w:rsid w:val="00FC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52F"/>
    <w:rPr>
      <w:rFonts w:ascii="Helvetica" w:hAnsi="Helvetica"/>
      <w:sz w:val="24"/>
    </w:rPr>
  </w:style>
  <w:style w:type="paragraph" w:styleId="Heading1">
    <w:name w:val="heading 1"/>
    <w:basedOn w:val="Normal"/>
    <w:next w:val="Normal"/>
    <w:qFormat/>
    <w:rsid w:val="0003352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u w:val="single"/>
    </w:rPr>
  </w:style>
  <w:style w:type="paragraph" w:styleId="Heading2">
    <w:name w:val="heading 2"/>
    <w:basedOn w:val="Normal"/>
    <w:next w:val="Normal"/>
    <w:qFormat/>
    <w:rsid w:val="00F379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79E5"/>
    <w:pPr>
      <w:keepNext/>
      <w:spacing w:before="240" w:after="60"/>
      <w:outlineLvl w:val="2"/>
    </w:pPr>
    <w:rPr>
      <w:rFonts w:ascii="Arial" w:hAnsi="Arial" w:cs="Arial"/>
      <w:b/>
      <w:bCs/>
      <w:sz w:val="26"/>
      <w:szCs w:val="26"/>
    </w:rPr>
  </w:style>
  <w:style w:type="paragraph" w:styleId="Heading4">
    <w:name w:val="heading 4"/>
    <w:basedOn w:val="Normal"/>
    <w:next w:val="Normal"/>
    <w:qFormat/>
    <w:rsid w:val="00F379E5"/>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F379E5"/>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352F"/>
    <w:rPr>
      <w:rFonts w:ascii="Tahoma" w:hAnsi="Tahoma" w:cs="Tahoma"/>
      <w:sz w:val="16"/>
      <w:szCs w:val="16"/>
    </w:rPr>
  </w:style>
  <w:style w:type="paragraph" w:styleId="NormalWeb">
    <w:name w:val="Normal (Web)"/>
    <w:basedOn w:val="Normal"/>
    <w:uiPriority w:val="99"/>
    <w:rsid w:val="00F379E5"/>
    <w:pPr>
      <w:spacing w:before="100" w:beforeAutospacing="1" w:after="100" w:afterAutospacing="1"/>
    </w:pPr>
    <w:rPr>
      <w:rFonts w:ascii="Verdana" w:hAnsi="Verdana"/>
      <w:szCs w:val="24"/>
    </w:rPr>
  </w:style>
  <w:style w:type="paragraph" w:customStyle="1" w:styleId="List1">
    <w:name w:val="List1"/>
    <w:basedOn w:val="Normal"/>
    <w:rsid w:val="00F379E5"/>
    <w:pPr>
      <w:spacing w:before="100" w:beforeAutospacing="1" w:after="100" w:afterAutospacing="1"/>
    </w:pPr>
    <w:rPr>
      <w:rFonts w:ascii="Verdana" w:hAnsi="Verdana"/>
      <w:szCs w:val="24"/>
    </w:rPr>
  </w:style>
  <w:style w:type="character" w:styleId="Hyperlink">
    <w:name w:val="Hyperlink"/>
    <w:basedOn w:val="DefaultParagraphFont"/>
    <w:rsid w:val="00C917F3"/>
    <w:rPr>
      <w:color w:val="0000FF"/>
      <w:u w:val="single"/>
    </w:rPr>
  </w:style>
  <w:style w:type="character" w:styleId="Strong">
    <w:name w:val="Strong"/>
    <w:basedOn w:val="DefaultParagraphFont"/>
    <w:uiPriority w:val="22"/>
    <w:qFormat/>
    <w:rsid w:val="00C917F3"/>
    <w:rPr>
      <w:b/>
      <w:bCs/>
    </w:rPr>
  </w:style>
  <w:style w:type="paragraph" w:customStyle="1" w:styleId="section-title">
    <w:name w:val="section-title"/>
    <w:basedOn w:val="Normal"/>
    <w:rsid w:val="004352E3"/>
    <w:rPr>
      <w:rFonts w:ascii="Georgia" w:hAnsi="Georgia"/>
      <w:b/>
      <w:bCs/>
      <w:color w:val="333333"/>
      <w:szCs w:val="24"/>
    </w:rPr>
  </w:style>
  <w:style w:type="paragraph" w:customStyle="1" w:styleId="case-abstract-title">
    <w:name w:val="case-abstract-title"/>
    <w:basedOn w:val="Normal"/>
    <w:rsid w:val="004352E3"/>
    <w:pPr>
      <w:spacing w:before="270" w:after="45"/>
      <w:ind w:left="210"/>
    </w:pPr>
    <w:rPr>
      <w:rFonts w:ascii="Times New Roman" w:hAnsi="Times New Roman"/>
      <w:b/>
      <w:bCs/>
      <w:color w:val="333333"/>
      <w:sz w:val="21"/>
      <w:szCs w:val="21"/>
    </w:rPr>
  </w:style>
  <w:style w:type="paragraph" w:customStyle="1" w:styleId="case-abstract-contents">
    <w:name w:val="case-abstract-contents"/>
    <w:basedOn w:val="Normal"/>
    <w:rsid w:val="004352E3"/>
    <w:pPr>
      <w:ind w:left="210"/>
    </w:pPr>
    <w:rPr>
      <w:rFonts w:ascii="Times New Roman" w:hAnsi="Times New Roman"/>
      <w:szCs w:val="24"/>
    </w:rPr>
  </w:style>
  <w:style w:type="character" w:styleId="FollowedHyperlink">
    <w:name w:val="FollowedHyperlink"/>
    <w:basedOn w:val="DefaultParagraphFont"/>
    <w:rsid w:val="00D27A09"/>
    <w:rPr>
      <w:color w:val="800080"/>
      <w:u w:val="single"/>
    </w:rPr>
  </w:style>
  <w:style w:type="character" w:customStyle="1" w:styleId="apple-style-span">
    <w:name w:val="apple-style-span"/>
    <w:basedOn w:val="DefaultParagraphFont"/>
    <w:rsid w:val="005B1E9D"/>
  </w:style>
  <w:style w:type="character" w:customStyle="1" w:styleId="apple-converted-space">
    <w:name w:val="apple-converted-space"/>
    <w:basedOn w:val="DefaultParagraphFont"/>
    <w:rsid w:val="00173F6D"/>
  </w:style>
  <w:style w:type="character" w:styleId="Emphasis">
    <w:name w:val="Emphasis"/>
    <w:basedOn w:val="DefaultParagraphFont"/>
    <w:uiPriority w:val="20"/>
    <w:qFormat/>
    <w:rsid w:val="00173F6D"/>
    <w:rPr>
      <w:i/>
      <w:iCs/>
    </w:rPr>
  </w:style>
  <w:style w:type="character" w:customStyle="1" w:styleId="style1">
    <w:name w:val="style1"/>
    <w:basedOn w:val="DefaultParagraphFont"/>
    <w:rsid w:val="00173F6D"/>
  </w:style>
  <w:style w:type="character" w:customStyle="1" w:styleId="label">
    <w:name w:val="label"/>
    <w:basedOn w:val="DefaultParagraphFont"/>
    <w:rsid w:val="006B1EAB"/>
  </w:style>
  <w:style w:type="character" w:customStyle="1" w:styleId="vote">
    <w:name w:val="vote"/>
    <w:basedOn w:val="DefaultParagraphFont"/>
    <w:rsid w:val="006B1EAB"/>
  </w:style>
  <w:style w:type="character" w:customStyle="1" w:styleId="winner">
    <w:name w:val="winner"/>
    <w:basedOn w:val="DefaultParagraphFont"/>
    <w:rsid w:val="006B1EAB"/>
  </w:style>
  <w:style w:type="character" w:customStyle="1" w:styleId="author">
    <w:name w:val="author"/>
    <w:basedOn w:val="DefaultParagraphFont"/>
    <w:rsid w:val="006B1EAB"/>
  </w:style>
  <w:style w:type="paragraph" w:customStyle="1" w:styleId="holding">
    <w:name w:val="holding"/>
    <w:basedOn w:val="Normal"/>
    <w:rsid w:val="006B1EAB"/>
    <w:pPr>
      <w:spacing w:before="100" w:beforeAutospacing="1" w:after="100" w:afterAutospacing="1"/>
    </w:pPr>
    <w:rPr>
      <w:rFonts w:ascii="Times New Roman" w:hAnsi="Times New Roman"/>
      <w:szCs w:val="24"/>
    </w:rPr>
  </w:style>
  <w:style w:type="character" w:customStyle="1" w:styleId="short">
    <w:name w:val="short"/>
    <w:basedOn w:val="DefaultParagraphFont"/>
    <w:rsid w:val="006B1EAB"/>
  </w:style>
  <w:style w:type="character" w:customStyle="1" w:styleId="v">
    <w:name w:val="v"/>
    <w:basedOn w:val="DefaultParagraphFont"/>
    <w:rsid w:val="006B1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52F"/>
    <w:rPr>
      <w:rFonts w:ascii="Helvetica" w:hAnsi="Helvetica"/>
      <w:sz w:val="24"/>
    </w:rPr>
  </w:style>
  <w:style w:type="paragraph" w:styleId="Heading1">
    <w:name w:val="heading 1"/>
    <w:basedOn w:val="Normal"/>
    <w:next w:val="Normal"/>
    <w:qFormat/>
    <w:rsid w:val="0003352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u w:val="single"/>
    </w:rPr>
  </w:style>
  <w:style w:type="paragraph" w:styleId="Heading2">
    <w:name w:val="heading 2"/>
    <w:basedOn w:val="Normal"/>
    <w:next w:val="Normal"/>
    <w:qFormat/>
    <w:rsid w:val="00F379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79E5"/>
    <w:pPr>
      <w:keepNext/>
      <w:spacing w:before="240" w:after="60"/>
      <w:outlineLvl w:val="2"/>
    </w:pPr>
    <w:rPr>
      <w:rFonts w:ascii="Arial" w:hAnsi="Arial" w:cs="Arial"/>
      <w:b/>
      <w:bCs/>
      <w:sz w:val="26"/>
      <w:szCs w:val="26"/>
    </w:rPr>
  </w:style>
  <w:style w:type="paragraph" w:styleId="Heading4">
    <w:name w:val="heading 4"/>
    <w:basedOn w:val="Normal"/>
    <w:next w:val="Normal"/>
    <w:qFormat/>
    <w:rsid w:val="00F379E5"/>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F379E5"/>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352F"/>
    <w:rPr>
      <w:rFonts w:ascii="Tahoma" w:hAnsi="Tahoma" w:cs="Tahoma"/>
      <w:sz w:val="16"/>
      <w:szCs w:val="16"/>
    </w:rPr>
  </w:style>
  <w:style w:type="paragraph" w:styleId="NormalWeb">
    <w:name w:val="Normal (Web)"/>
    <w:basedOn w:val="Normal"/>
    <w:uiPriority w:val="99"/>
    <w:rsid w:val="00F379E5"/>
    <w:pPr>
      <w:spacing w:before="100" w:beforeAutospacing="1" w:after="100" w:afterAutospacing="1"/>
    </w:pPr>
    <w:rPr>
      <w:rFonts w:ascii="Verdana" w:hAnsi="Verdana"/>
      <w:szCs w:val="24"/>
    </w:rPr>
  </w:style>
  <w:style w:type="paragraph" w:customStyle="1" w:styleId="List1">
    <w:name w:val="List1"/>
    <w:basedOn w:val="Normal"/>
    <w:rsid w:val="00F379E5"/>
    <w:pPr>
      <w:spacing w:before="100" w:beforeAutospacing="1" w:after="100" w:afterAutospacing="1"/>
    </w:pPr>
    <w:rPr>
      <w:rFonts w:ascii="Verdana" w:hAnsi="Verdana"/>
      <w:szCs w:val="24"/>
    </w:rPr>
  </w:style>
  <w:style w:type="character" w:styleId="Hyperlink">
    <w:name w:val="Hyperlink"/>
    <w:basedOn w:val="DefaultParagraphFont"/>
    <w:rsid w:val="00C917F3"/>
    <w:rPr>
      <w:color w:val="0000FF"/>
      <w:u w:val="single"/>
    </w:rPr>
  </w:style>
  <w:style w:type="character" w:styleId="Strong">
    <w:name w:val="Strong"/>
    <w:basedOn w:val="DefaultParagraphFont"/>
    <w:uiPriority w:val="22"/>
    <w:qFormat/>
    <w:rsid w:val="00C917F3"/>
    <w:rPr>
      <w:b/>
      <w:bCs/>
    </w:rPr>
  </w:style>
  <w:style w:type="paragraph" w:customStyle="1" w:styleId="section-title">
    <w:name w:val="section-title"/>
    <w:basedOn w:val="Normal"/>
    <w:rsid w:val="004352E3"/>
    <w:rPr>
      <w:rFonts w:ascii="Georgia" w:hAnsi="Georgia"/>
      <w:b/>
      <w:bCs/>
      <w:color w:val="333333"/>
      <w:szCs w:val="24"/>
    </w:rPr>
  </w:style>
  <w:style w:type="paragraph" w:customStyle="1" w:styleId="case-abstract-title">
    <w:name w:val="case-abstract-title"/>
    <w:basedOn w:val="Normal"/>
    <w:rsid w:val="004352E3"/>
    <w:pPr>
      <w:spacing w:before="270" w:after="45"/>
      <w:ind w:left="210"/>
    </w:pPr>
    <w:rPr>
      <w:rFonts w:ascii="Times New Roman" w:hAnsi="Times New Roman"/>
      <w:b/>
      <w:bCs/>
      <w:color w:val="333333"/>
      <w:sz w:val="21"/>
      <w:szCs w:val="21"/>
    </w:rPr>
  </w:style>
  <w:style w:type="paragraph" w:customStyle="1" w:styleId="case-abstract-contents">
    <w:name w:val="case-abstract-contents"/>
    <w:basedOn w:val="Normal"/>
    <w:rsid w:val="004352E3"/>
    <w:pPr>
      <w:ind w:left="210"/>
    </w:pPr>
    <w:rPr>
      <w:rFonts w:ascii="Times New Roman" w:hAnsi="Times New Roman"/>
      <w:szCs w:val="24"/>
    </w:rPr>
  </w:style>
  <w:style w:type="character" w:styleId="FollowedHyperlink">
    <w:name w:val="FollowedHyperlink"/>
    <w:basedOn w:val="DefaultParagraphFont"/>
    <w:rsid w:val="00D27A09"/>
    <w:rPr>
      <w:color w:val="800080"/>
      <w:u w:val="single"/>
    </w:rPr>
  </w:style>
  <w:style w:type="character" w:customStyle="1" w:styleId="apple-style-span">
    <w:name w:val="apple-style-span"/>
    <w:basedOn w:val="DefaultParagraphFont"/>
    <w:rsid w:val="005B1E9D"/>
  </w:style>
  <w:style w:type="character" w:customStyle="1" w:styleId="apple-converted-space">
    <w:name w:val="apple-converted-space"/>
    <w:basedOn w:val="DefaultParagraphFont"/>
    <w:rsid w:val="00173F6D"/>
  </w:style>
  <w:style w:type="character" w:styleId="Emphasis">
    <w:name w:val="Emphasis"/>
    <w:basedOn w:val="DefaultParagraphFont"/>
    <w:uiPriority w:val="20"/>
    <w:qFormat/>
    <w:rsid w:val="00173F6D"/>
    <w:rPr>
      <w:i/>
      <w:iCs/>
    </w:rPr>
  </w:style>
  <w:style w:type="character" w:customStyle="1" w:styleId="style1">
    <w:name w:val="style1"/>
    <w:basedOn w:val="DefaultParagraphFont"/>
    <w:rsid w:val="00173F6D"/>
  </w:style>
  <w:style w:type="character" w:customStyle="1" w:styleId="label">
    <w:name w:val="label"/>
    <w:basedOn w:val="DefaultParagraphFont"/>
    <w:rsid w:val="006B1EAB"/>
  </w:style>
  <w:style w:type="character" w:customStyle="1" w:styleId="vote">
    <w:name w:val="vote"/>
    <w:basedOn w:val="DefaultParagraphFont"/>
    <w:rsid w:val="006B1EAB"/>
  </w:style>
  <w:style w:type="character" w:customStyle="1" w:styleId="winner">
    <w:name w:val="winner"/>
    <w:basedOn w:val="DefaultParagraphFont"/>
    <w:rsid w:val="006B1EAB"/>
  </w:style>
  <w:style w:type="character" w:customStyle="1" w:styleId="author">
    <w:name w:val="author"/>
    <w:basedOn w:val="DefaultParagraphFont"/>
    <w:rsid w:val="006B1EAB"/>
  </w:style>
  <w:style w:type="paragraph" w:customStyle="1" w:styleId="holding">
    <w:name w:val="holding"/>
    <w:basedOn w:val="Normal"/>
    <w:rsid w:val="006B1EAB"/>
    <w:pPr>
      <w:spacing w:before="100" w:beforeAutospacing="1" w:after="100" w:afterAutospacing="1"/>
    </w:pPr>
    <w:rPr>
      <w:rFonts w:ascii="Times New Roman" w:hAnsi="Times New Roman"/>
      <w:szCs w:val="24"/>
    </w:rPr>
  </w:style>
  <w:style w:type="character" w:customStyle="1" w:styleId="short">
    <w:name w:val="short"/>
    <w:basedOn w:val="DefaultParagraphFont"/>
    <w:rsid w:val="006B1EAB"/>
  </w:style>
  <w:style w:type="character" w:customStyle="1" w:styleId="v">
    <w:name w:val="v"/>
    <w:basedOn w:val="DefaultParagraphFont"/>
    <w:rsid w:val="006B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44618">
      <w:bodyDiv w:val="1"/>
      <w:marLeft w:val="0"/>
      <w:marRight w:val="0"/>
      <w:marTop w:val="0"/>
      <w:marBottom w:val="0"/>
      <w:divBdr>
        <w:top w:val="none" w:sz="0" w:space="0" w:color="auto"/>
        <w:left w:val="none" w:sz="0" w:space="0" w:color="auto"/>
        <w:bottom w:val="none" w:sz="0" w:space="0" w:color="auto"/>
        <w:right w:val="none" w:sz="0" w:space="0" w:color="auto"/>
      </w:divBdr>
    </w:div>
    <w:div w:id="421612841">
      <w:bodyDiv w:val="1"/>
      <w:marLeft w:val="0"/>
      <w:marRight w:val="0"/>
      <w:marTop w:val="0"/>
      <w:marBottom w:val="0"/>
      <w:divBdr>
        <w:top w:val="none" w:sz="0" w:space="0" w:color="auto"/>
        <w:left w:val="none" w:sz="0" w:space="0" w:color="auto"/>
        <w:bottom w:val="none" w:sz="0" w:space="0" w:color="auto"/>
        <w:right w:val="none" w:sz="0" w:space="0" w:color="auto"/>
      </w:divBdr>
    </w:div>
    <w:div w:id="472722201">
      <w:bodyDiv w:val="1"/>
      <w:marLeft w:val="0"/>
      <w:marRight w:val="0"/>
      <w:marTop w:val="0"/>
      <w:marBottom w:val="0"/>
      <w:divBdr>
        <w:top w:val="none" w:sz="0" w:space="0" w:color="auto"/>
        <w:left w:val="none" w:sz="0" w:space="0" w:color="auto"/>
        <w:bottom w:val="none" w:sz="0" w:space="0" w:color="auto"/>
        <w:right w:val="none" w:sz="0" w:space="0" w:color="auto"/>
      </w:divBdr>
    </w:div>
    <w:div w:id="594246781">
      <w:bodyDiv w:val="1"/>
      <w:marLeft w:val="0"/>
      <w:marRight w:val="0"/>
      <w:marTop w:val="0"/>
      <w:marBottom w:val="0"/>
      <w:divBdr>
        <w:top w:val="none" w:sz="0" w:space="0" w:color="auto"/>
        <w:left w:val="none" w:sz="0" w:space="0" w:color="auto"/>
        <w:bottom w:val="none" w:sz="0" w:space="0" w:color="auto"/>
        <w:right w:val="none" w:sz="0" w:space="0" w:color="auto"/>
      </w:divBdr>
      <w:divsChild>
        <w:div w:id="1886870515">
          <w:marLeft w:val="0"/>
          <w:marRight w:val="0"/>
          <w:marTop w:val="0"/>
          <w:marBottom w:val="0"/>
          <w:divBdr>
            <w:top w:val="none" w:sz="0" w:space="0" w:color="auto"/>
            <w:left w:val="none" w:sz="0" w:space="0" w:color="auto"/>
            <w:bottom w:val="none" w:sz="0" w:space="0" w:color="auto"/>
            <w:right w:val="none" w:sz="0" w:space="0" w:color="auto"/>
          </w:divBdr>
        </w:div>
        <w:div w:id="500852352">
          <w:marLeft w:val="0"/>
          <w:marRight w:val="0"/>
          <w:marTop w:val="0"/>
          <w:marBottom w:val="0"/>
          <w:divBdr>
            <w:top w:val="none" w:sz="0" w:space="0" w:color="auto"/>
            <w:left w:val="none" w:sz="0" w:space="0" w:color="auto"/>
            <w:bottom w:val="none" w:sz="0" w:space="0" w:color="auto"/>
            <w:right w:val="none" w:sz="0" w:space="0" w:color="auto"/>
          </w:divBdr>
        </w:div>
        <w:div w:id="1745106320">
          <w:marLeft w:val="0"/>
          <w:marRight w:val="0"/>
          <w:marTop w:val="0"/>
          <w:marBottom w:val="0"/>
          <w:divBdr>
            <w:top w:val="none" w:sz="0" w:space="0" w:color="auto"/>
            <w:left w:val="none" w:sz="0" w:space="0" w:color="auto"/>
            <w:bottom w:val="none" w:sz="0" w:space="0" w:color="auto"/>
            <w:right w:val="none" w:sz="0" w:space="0" w:color="auto"/>
          </w:divBdr>
          <w:divsChild>
            <w:div w:id="963583274">
              <w:marLeft w:val="0"/>
              <w:marRight w:val="0"/>
              <w:marTop w:val="0"/>
              <w:marBottom w:val="0"/>
              <w:divBdr>
                <w:top w:val="none" w:sz="0" w:space="0" w:color="auto"/>
                <w:left w:val="none" w:sz="0" w:space="0" w:color="auto"/>
                <w:bottom w:val="none" w:sz="0" w:space="0" w:color="auto"/>
                <w:right w:val="none" w:sz="0" w:space="0" w:color="auto"/>
              </w:divBdr>
            </w:div>
            <w:div w:id="1601600950">
              <w:marLeft w:val="0"/>
              <w:marRight w:val="0"/>
              <w:marTop w:val="0"/>
              <w:marBottom w:val="0"/>
              <w:divBdr>
                <w:top w:val="none" w:sz="0" w:space="0" w:color="auto"/>
                <w:left w:val="none" w:sz="0" w:space="0" w:color="auto"/>
                <w:bottom w:val="none" w:sz="0" w:space="0" w:color="auto"/>
                <w:right w:val="none" w:sz="0" w:space="0" w:color="auto"/>
              </w:divBdr>
              <w:divsChild>
                <w:div w:id="94253152">
                  <w:marLeft w:val="0"/>
                  <w:marRight w:val="0"/>
                  <w:marTop w:val="0"/>
                  <w:marBottom w:val="0"/>
                  <w:divBdr>
                    <w:top w:val="none" w:sz="0" w:space="0" w:color="auto"/>
                    <w:left w:val="none" w:sz="0" w:space="0" w:color="auto"/>
                    <w:bottom w:val="none" w:sz="0" w:space="0" w:color="auto"/>
                    <w:right w:val="none" w:sz="0" w:space="0" w:color="auto"/>
                  </w:divBdr>
                  <w:divsChild>
                    <w:div w:id="1193883931">
                      <w:marLeft w:val="-300"/>
                      <w:marRight w:val="0"/>
                      <w:marTop w:val="0"/>
                      <w:marBottom w:val="0"/>
                      <w:divBdr>
                        <w:top w:val="none" w:sz="0" w:space="0" w:color="auto"/>
                        <w:left w:val="none" w:sz="0" w:space="0" w:color="auto"/>
                        <w:bottom w:val="none" w:sz="0" w:space="0" w:color="auto"/>
                        <w:right w:val="none" w:sz="0" w:space="0" w:color="auto"/>
                      </w:divBdr>
                    </w:div>
                    <w:div w:id="1242180308">
                      <w:marLeft w:val="-300"/>
                      <w:marRight w:val="0"/>
                      <w:marTop w:val="0"/>
                      <w:marBottom w:val="0"/>
                      <w:divBdr>
                        <w:top w:val="none" w:sz="0" w:space="0" w:color="auto"/>
                        <w:left w:val="none" w:sz="0" w:space="0" w:color="auto"/>
                        <w:bottom w:val="none" w:sz="0" w:space="0" w:color="auto"/>
                        <w:right w:val="none" w:sz="0" w:space="0" w:color="auto"/>
                      </w:divBdr>
                    </w:div>
                    <w:div w:id="267396772">
                      <w:marLeft w:val="-300"/>
                      <w:marRight w:val="0"/>
                      <w:marTop w:val="0"/>
                      <w:marBottom w:val="0"/>
                      <w:divBdr>
                        <w:top w:val="none" w:sz="0" w:space="0" w:color="auto"/>
                        <w:left w:val="none" w:sz="0" w:space="0" w:color="auto"/>
                        <w:bottom w:val="none" w:sz="0" w:space="0" w:color="auto"/>
                        <w:right w:val="none" w:sz="0" w:space="0" w:color="auto"/>
                      </w:divBdr>
                    </w:div>
                    <w:div w:id="74939696">
                      <w:marLeft w:val="-300"/>
                      <w:marRight w:val="0"/>
                      <w:marTop w:val="0"/>
                      <w:marBottom w:val="0"/>
                      <w:divBdr>
                        <w:top w:val="none" w:sz="0" w:space="0" w:color="auto"/>
                        <w:left w:val="none" w:sz="0" w:space="0" w:color="auto"/>
                        <w:bottom w:val="none" w:sz="0" w:space="0" w:color="auto"/>
                        <w:right w:val="none" w:sz="0" w:space="0" w:color="auto"/>
                      </w:divBdr>
                    </w:div>
                    <w:div w:id="1312901287">
                      <w:marLeft w:val="-300"/>
                      <w:marRight w:val="0"/>
                      <w:marTop w:val="0"/>
                      <w:marBottom w:val="0"/>
                      <w:divBdr>
                        <w:top w:val="none" w:sz="0" w:space="0" w:color="auto"/>
                        <w:left w:val="none" w:sz="0" w:space="0" w:color="auto"/>
                        <w:bottom w:val="none" w:sz="0" w:space="0" w:color="auto"/>
                        <w:right w:val="none" w:sz="0" w:space="0" w:color="auto"/>
                      </w:divBdr>
                    </w:div>
                    <w:div w:id="1161854333">
                      <w:marLeft w:val="-300"/>
                      <w:marRight w:val="0"/>
                      <w:marTop w:val="0"/>
                      <w:marBottom w:val="0"/>
                      <w:divBdr>
                        <w:top w:val="none" w:sz="0" w:space="0" w:color="auto"/>
                        <w:left w:val="none" w:sz="0" w:space="0" w:color="auto"/>
                        <w:bottom w:val="none" w:sz="0" w:space="0" w:color="auto"/>
                        <w:right w:val="none" w:sz="0" w:space="0" w:color="auto"/>
                      </w:divBdr>
                    </w:div>
                    <w:div w:id="1649358506">
                      <w:marLeft w:val="-300"/>
                      <w:marRight w:val="0"/>
                      <w:marTop w:val="0"/>
                      <w:marBottom w:val="0"/>
                      <w:divBdr>
                        <w:top w:val="none" w:sz="0" w:space="0" w:color="auto"/>
                        <w:left w:val="none" w:sz="0" w:space="0" w:color="auto"/>
                        <w:bottom w:val="none" w:sz="0" w:space="0" w:color="auto"/>
                        <w:right w:val="none" w:sz="0" w:space="0" w:color="auto"/>
                      </w:divBdr>
                    </w:div>
                    <w:div w:id="983001559">
                      <w:marLeft w:val="-300"/>
                      <w:marRight w:val="0"/>
                      <w:marTop w:val="0"/>
                      <w:marBottom w:val="0"/>
                      <w:divBdr>
                        <w:top w:val="none" w:sz="0" w:space="0" w:color="auto"/>
                        <w:left w:val="none" w:sz="0" w:space="0" w:color="auto"/>
                        <w:bottom w:val="none" w:sz="0" w:space="0" w:color="auto"/>
                        <w:right w:val="none" w:sz="0" w:space="0" w:color="auto"/>
                      </w:divBdr>
                    </w:div>
                    <w:div w:id="20469524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8077">
          <w:marLeft w:val="0"/>
          <w:marRight w:val="0"/>
          <w:marTop w:val="0"/>
          <w:marBottom w:val="0"/>
          <w:divBdr>
            <w:top w:val="none" w:sz="0" w:space="0" w:color="auto"/>
            <w:left w:val="none" w:sz="0" w:space="0" w:color="auto"/>
            <w:bottom w:val="none" w:sz="0" w:space="0" w:color="auto"/>
            <w:right w:val="none" w:sz="0" w:space="0" w:color="auto"/>
          </w:divBdr>
        </w:div>
      </w:divsChild>
    </w:div>
    <w:div w:id="626666401">
      <w:bodyDiv w:val="1"/>
      <w:marLeft w:val="0"/>
      <w:marRight w:val="0"/>
      <w:marTop w:val="0"/>
      <w:marBottom w:val="0"/>
      <w:divBdr>
        <w:top w:val="none" w:sz="0" w:space="0" w:color="auto"/>
        <w:left w:val="none" w:sz="0" w:space="0" w:color="auto"/>
        <w:bottom w:val="none" w:sz="0" w:space="0" w:color="auto"/>
        <w:right w:val="none" w:sz="0" w:space="0" w:color="auto"/>
      </w:divBdr>
    </w:div>
    <w:div w:id="787552092">
      <w:bodyDiv w:val="1"/>
      <w:marLeft w:val="0"/>
      <w:marRight w:val="0"/>
      <w:marTop w:val="0"/>
      <w:marBottom w:val="0"/>
      <w:divBdr>
        <w:top w:val="none" w:sz="0" w:space="0" w:color="auto"/>
        <w:left w:val="none" w:sz="0" w:space="0" w:color="auto"/>
        <w:bottom w:val="none" w:sz="0" w:space="0" w:color="auto"/>
        <w:right w:val="none" w:sz="0" w:space="0" w:color="auto"/>
      </w:divBdr>
      <w:divsChild>
        <w:div w:id="599218670">
          <w:marLeft w:val="0"/>
          <w:marRight w:val="0"/>
          <w:marTop w:val="0"/>
          <w:marBottom w:val="300"/>
          <w:divBdr>
            <w:top w:val="single" w:sz="12" w:space="0" w:color="999999"/>
            <w:left w:val="single" w:sz="12" w:space="0" w:color="999999"/>
            <w:bottom w:val="none" w:sz="0" w:space="0" w:color="auto"/>
            <w:right w:val="single" w:sz="12" w:space="0" w:color="999999"/>
          </w:divBdr>
          <w:divsChild>
            <w:div w:id="1924953170">
              <w:marLeft w:val="0"/>
              <w:marRight w:val="0"/>
              <w:marTop w:val="30"/>
              <w:marBottom w:val="15"/>
              <w:divBdr>
                <w:top w:val="single" w:sz="12" w:space="0" w:color="003399"/>
                <w:left w:val="none" w:sz="0" w:space="0" w:color="auto"/>
                <w:bottom w:val="single" w:sz="6" w:space="0" w:color="999999"/>
                <w:right w:val="none" w:sz="0" w:space="0" w:color="auto"/>
              </w:divBdr>
              <w:divsChild>
                <w:div w:id="1515460920">
                  <w:marLeft w:val="210"/>
                  <w:marRight w:val="210"/>
                  <w:marTop w:val="210"/>
                  <w:marBottom w:val="210"/>
                  <w:divBdr>
                    <w:top w:val="none" w:sz="0" w:space="0" w:color="auto"/>
                    <w:left w:val="none" w:sz="0" w:space="0" w:color="auto"/>
                    <w:bottom w:val="single" w:sz="6" w:space="11" w:color="999999"/>
                    <w:right w:val="none" w:sz="0" w:space="0" w:color="auto"/>
                  </w:divBdr>
                </w:div>
              </w:divsChild>
            </w:div>
          </w:divsChild>
        </w:div>
      </w:divsChild>
    </w:div>
    <w:div w:id="893352861">
      <w:bodyDiv w:val="1"/>
      <w:marLeft w:val="0"/>
      <w:marRight w:val="0"/>
      <w:marTop w:val="0"/>
      <w:marBottom w:val="0"/>
      <w:divBdr>
        <w:top w:val="none" w:sz="0" w:space="0" w:color="auto"/>
        <w:left w:val="none" w:sz="0" w:space="0" w:color="auto"/>
        <w:bottom w:val="none" w:sz="0" w:space="0" w:color="auto"/>
        <w:right w:val="none" w:sz="0" w:space="0" w:color="auto"/>
      </w:divBdr>
      <w:divsChild>
        <w:div w:id="462116448">
          <w:marLeft w:val="0"/>
          <w:marRight w:val="0"/>
          <w:marTop w:val="0"/>
          <w:marBottom w:val="0"/>
          <w:divBdr>
            <w:top w:val="none" w:sz="0" w:space="0" w:color="auto"/>
            <w:left w:val="none" w:sz="0" w:space="0" w:color="auto"/>
            <w:bottom w:val="none" w:sz="0" w:space="0" w:color="auto"/>
            <w:right w:val="none" w:sz="0" w:space="0" w:color="auto"/>
          </w:divBdr>
          <w:divsChild>
            <w:div w:id="123622429">
              <w:marLeft w:val="0"/>
              <w:marRight w:val="0"/>
              <w:marTop w:val="0"/>
              <w:marBottom w:val="0"/>
              <w:divBdr>
                <w:top w:val="none" w:sz="0" w:space="0" w:color="auto"/>
                <w:left w:val="none" w:sz="0" w:space="0" w:color="auto"/>
                <w:bottom w:val="none" w:sz="0" w:space="0" w:color="auto"/>
                <w:right w:val="none" w:sz="0" w:space="0" w:color="auto"/>
              </w:divBdr>
            </w:div>
            <w:div w:id="164171869">
              <w:marLeft w:val="0"/>
              <w:marRight w:val="0"/>
              <w:marTop w:val="0"/>
              <w:marBottom w:val="0"/>
              <w:divBdr>
                <w:top w:val="none" w:sz="0" w:space="0" w:color="auto"/>
                <w:left w:val="none" w:sz="0" w:space="0" w:color="auto"/>
                <w:bottom w:val="none" w:sz="0" w:space="0" w:color="auto"/>
                <w:right w:val="none" w:sz="0" w:space="0" w:color="auto"/>
              </w:divBdr>
            </w:div>
            <w:div w:id="658577627">
              <w:marLeft w:val="0"/>
              <w:marRight w:val="0"/>
              <w:marTop w:val="0"/>
              <w:marBottom w:val="0"/>
              <w:divBdr>
                <w:top w:val="none" w:sz="0" w:space="0" w:color="auto"/>
                <w:left w:val="none" w:sz="0" w:space="0" w:color="auto"/>
                <w:bottom w:val="none" w:sz="0" w:space="0" w:color="auto"/>
                <w:right w:val="none" w:sz="0" w:space="0" w:color="auto"/>
              </w:divBdr>
            </w:div>
            <w:div w:id="720057027">
              <w:marLeft w:val="0"/>
              <w:marRight w:val="0"/>
              <w:marTop w:val="0"/>
              <w:marBottom w:val="0"/>
              <w:divBdr>
                <w:top w:val="none" w:sz="0" w:space="0" w:color="auto"/>
                <w:left w:val="none" w:sz="0" w:space="0" w:color="auto"/>
                <w:bottom w:val="none" w:sz="0" w:space="0" w:color="auto"/>
                <w:right w:val="none" w:sz="0" w:space="0" w:color="auto"/>
              </w:divBdr>
            </w:div>
            <w:div w:id="917785489">
              <w:marLeft w:val="0"/>
              <w:marRight w:val="0"/>
              <w:marTop w:val="0"/>
              <w:marBottom w:val="0"/>
              <w:divBdr>
                <w:top w:val="none" w:sz="0" w:space="0" w:color="auto"/>
                <w:left w:val="none" w:sz="0" w:space="0" w:color="auto"/>
                <w:bottom w:val="none" w:sz="0" w:space="0" w:color="auto"/>
                <w:right w:val="none" w:sz="0" w:space="0" w:color="auto"/>
              </w:divBdr>
            </w:div>
            <w:div w:id="1121340331">
              <w:marLeft w:val="0"/>
              <w:marRight w:val="0"/>
              <w:marTop w:val="0"/>
              <w:marBottom w:val="0"/>
              <w:divBdr>
                <w:top w:val="none" w:sz="0" w:space="0" w:color="auto"/>
                <w:left w:val="none" w:sz="0" w:space="0" w:color="auto"/>
                <w:bottom w:val="none" w:sz="0" w:space="0" w:color="auto"/>
                <w:right w:val="none" w:sz="0" w:space="0" w:color="auto"/>
              </w:divBdr>
            </w:div>
            <w:div w:id="1671135118">
              <w:marLeft w:val="0"/>
              <w:marRight w:val="0"/>
              <w:marTop w:val="0"/>
              <w:marBottom w:val="0"/>
              <w:divBdr>
                <w:top w:val="none" w:sz="0" w:space="0" w:color="auto"/>
                <w:left w:val="none" w:sz="0" w:space="0" w:color="auto"/>
                <w:bottom w:val="none" w:sz="0" w:space="0" w:color="auto"/>
                <w:right w:val="none" w:sz="0" w:space="0" w:color="auto"/>
              </w:divBdr>
            </w:div>
            <w:div w:id="1718705413">
              <w:marLeft w:val="0"/>
              <w:marRight w:val="0"/>
              <w:marTop w:val="0"/>
              <w:marBottom w:val="0"/>
              <w:divBdr>
                <w:top w:val="none" w:sz="0" w:space="0" w:color="auto"/>
                <w:left w:val="none" w:sz="0" w:space="0" w:color="auto"/>
                <w:bottom w:val="none" w:sz="0" w:space="0" w:color="auto"/>
                <w:right w:val="none" w:sz="0" w:space="0" w:color="auto"/>
              </w:divBdr>
            </w:div>
            <w:div w:id="1845241755">
              <w:marLeft w:val="0"/>
              <w:marRight w:val="0"/>
              <w:marTop w:val="0"/>
              <w:marBottom w:val="0"/>
              <w:divBdr>
                <w:top w:val="none" w:sz="0" w:space="0" w:color="auto"/>
                <w:left w:val="none" w:sz="0" w:space="0" w:color="auto"/>
                <w:bottom w:val="none" w:sz="0" w:space="0" w:color="auto"/>
                <w:right w:val="none" w:sz="0" w:space="0" w:color="auto"/>
              </w:divBdr>
            </w:div>
            <w:div w:id="19341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4197">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6">
          <w:marLeft w:val="0"/>
          <w:marRight w:val="0"/>
          <w:marTop w:val="0"/>
          <w:marBottom w:val="0"/>
          <w:divBdr>
            <w:top w:val="none" w:sz="0" w:space="0" w:color="auto"/>
            <w:left w:val="none" w:sz="0" w:space="0" w:color="auto"/>
            <w:bottom w:val="none" w:sz="0" w:space="0" w:color="auto"/>
            <w:right w:val="none" w:sz="0" w:space="0" w:color="auto"/>
          </w:divBdr>
          <w:divsChild>
            <w:div w:id="761949955">
              <w:marLeft w:val="0"/>
              <w:marRight w:val="0"/>
              <w:marTop w:val="0"/>
              <w:marBottom w:val="0"/>
              <w:divBdr>
                <w:top w:val="none" w:sz="0" w:space="0" w:color="auto"/>
                <w:left w:val="none" w:sz="0" w:space="0" w:color="auto"/>
                <w:bottom w:val="none" w:sz="0" w:space="0" w:color="auto"/>
                <w:right w:val="none" w:sz="0" w:space="0" w:color="auto"/>
              </w:divBdr>
              <w:divsChild>
                <w:div w:id="324825380">
                  <w:marLeft w:val="0"/>
                  <w:marRight w:val="0"/>
                  <w:marTop w:val="0"/>
                  <w:marBottom w:val="0"/>
                  <w:divBdr>
                    <w:top w:val="none" w:sz="0" w:space="0" w:color="auto"/>
                    <w:left w:val="none" w:sz="0" w:space="0" w:color="auto"/>
                    <w:bottom w:val="none" w:sz="0" w:space="0" w:color="auto"/>
                    <w:right w:val="none" w:sz="0" w:space="0" w:color="auto"/>
                  </w:divBdr>
                  <w:divsChild>
                    <w:div w:id="1473524863">
                      <w:marLeft w:val="0"/>
                      <w:marRight w:val="0"/>
                      <w:marTop w:val="0"/>
                      <w:marBottom w:val="0"/>
                      <w:divBdr>
                        <w:top w:val="none" w:sz="0" w:space="0" w:color="auto"/>
                        <w:left w:val="none" w:sz="0" w:space="0" w:color="auto"/>
                        <w:bottom w:val="none" w:sz="0" w:space="0" w:color="auto"/>
                        <w:right w:val="none" w:sz="0" w:space="0" w:color="auto"/>
                      </w:divBdr>
                      <w:divsChild>
                        <w:div w:id="675380095">
                          <w:marLeft w:val="0"/>
                          <w:marRight w:val="0"/>
                          <w:marTop w:val="0"/>
                          <w:marBottom w:val="0"/>
                          <w:divBdr>
                            <w:top w:val="none" w:sz="0" w:space="0" w:color="auto"/>
                            <w:left w:val="none" w:sz="0" w:space="0" w:color="auto"/>
                            <w:bottom w:val="none" w:sz="0" w:space="0" w:color="auto"/>
                            <w:right w:val="none" w:sz="0" w:space="0" w:color="auto"/>
                          </w:divBdr>
                          <w:divsChild>
                            <w:div w:id="517353977">
                              <w:marLeft w:val="0"/>
                              <w:marRight w:val="0"/>
                              <w:marTop w:val="0"/>
                              <w:marBottom w:val="0"/>
                              <w:divBdr>
                                <w:top w:val="none" w:sz="0" w:space="0" w:color="auto"/>
                                <w:left w:val="none" w:sz="0" w:space="0" w:color="auto"/>
                                <w:bottom w:val="none" w:sz="0" w:space="0" w:color="auto"/>
                                <w:right w:val="none" w:sz="0" w:space="0" w:color="auto"/>
                              </w:divBdr>
                              <w:divsChild>
                                <w:div w:id="390540392">
                                  <w:marLeft w:val="0"/>
                                  <w:marRight w:val="0"/>
                                  <w:marTop w:val="0"/>
                                  <w:marBottom w:val="0"/>
                                  <w:divBdr>
                                    <w:top w:val="none" w:sz="0" w:space="0" w:color="auto"/>
                                    <w:left w:val="none" w:sz="0" w:space="0" w:color="auto"/>
                                    <w:bottom w:val="none" w:sz="0" w:space="0" w:color="auto"/>
                                    <w:right w:val="none" w:sz="0" w:space="0" w:color="auto"/>
                                  </w:divBdr>
                                  <w:divsChild>
                                    <w:div w:id="1631983178">
                                      <w:marLeft w:val="0"/>
                                      <w:marRight w:val="0"/>
                                      <w:marTop w:val="0"/>
                                      <w:marBottom w:val="270"/>
                                      <w:divBdr>
                                        <w:top w:val="none" w:sz="0" w:space="0" w:color="auto"/>
                                        <w:left w:val="none" w:sz="0" w:space="0" w:color="auto"/>
                                        <w:bottom w:val="none" w:sz="0" w:space="0" w:color="auto"/>
                                        <w:right w:val="none" w:sz="0" w:space="0" w:color="auto"/>
                                      </w:divBdr>
                                      <w:divsChild>
                                        <w:div w:id="1236235298">
                                          <w:marLeft w:val="0"/>
                                          <w:marRight w:val="0"/>
                                          <w:marTop w:val="0"/>
                                          <w:marBottom w:val="0"/>
                                          <w:divBdr>
                                            <w:top w:val="none" w:sz="0" w:space="0" w:color="auto"/>
                                            <w:left w:val="none" w:sz="0" w:space="0" w:color="auto"/>
                                            <w:bottom w:val="none" w:sz="0" w:space="0" w:color="auto"/>
                                            <w:right w:val="none" w:sz="0" w:space="0" w:color="auto"/>
                                          </w:divBdr>
                                          <w:divsChild>
                                            <w:div w:id="157615536">
                                              <w:marLeft w:val="0"/>
                                              <w:marRight w:val="0"/>
                                              <w:marTop w:val="0"/>
                                              <w:marBottom w:val="0"/>
                                              <w:divBdr>
                                                <w:top w:val="none" w:sz="0" w:space="0" w:color="auto"/>
                                                <w:left w:val="none" w:sz="0" w:space="0" w:color="auto"/>
                                                <w:bottom w:val="none" w:sz="0" w:space="0" w:color="auto"/>
                                                <w:right w:val="none" w:sz="0" w:space="0" w:color="auto"/>
                                              </w:divBdr>
                                              <w:divsChild>
                                                <w:div w:id="18014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4254681">
      <w:bodyDiv w:val="1"/>
      <w:marLeft w:val="0"/>
      <w:marRight w:val="0"/>
      <w:marTop w:val="0"/>
      <w:marBottom w:val="0"/>
      <w:divBdr>
        <w:top w:val="none" w:sz="0" w:space="0" w:color="auto"/>
        <w:left w:val="none" w:sz="0" w:space="0" w:color="auto"/>
        <w:bottom w:val="none" w:sz="0" w:space="0" w:color="auto"/>
        <w:right w:val="none" w:sz="0" w:space="0" w:color="auto"/>
      </w:divBdr>
      <w:divsChild>
        <w:div w:id="629938073">
          <w:marLeft w:val="0"/>
          <w:marRight w:val="0"/>
          <w:marTop w:val="0"/>
          <w:marBottom w:val="300"/>
          <w:divBdr>
            <w:top w:val="single" w:sz="12" w:space="0" w:color="999999"/>
            <w:left w:val="single" w:sz="12" w:space="0" w:color="999999"/>
            <w:bottom w:val="none" w:sz="0" w:space="0" w:color="auto"/>
            <w:right w:val="single" w:sz="12" w:space="0" w:color="999999"/>
          </w:divBdr>
          <w:divsChild>
            <w:div w:id="1707027797">
              <w:marLeft w:val="0"/>
              <w:marRight w:val="0"/>
              <w:marTop w:val="30"/>
              <w:marBottom w:val="15"/>
              <w:divBdr>
                <w:top w:val="single" w:sz="12" w:space="0" w:color="003399"/>
                <w:left w:val="none" w:sz="0" w:space="0" w:color="auto"/>
                <w:bottom w:val="single" w:sz="6" w:space="0" w:color="999999"/>
                <w:right w:val="none" w:sz="0" w:space="0" w:color="auto"/>
              </w:divBdr>
              <w:divsChild>
                <w:div w:id="543559530">
                  <w:marLeft w:val="210"/>
                  <w:marRight w:val="210"/>
                  <w:marTop w:val="210"/>
                  <w:marBottom w:val="210"/>
                  <w:divBdr>
                    <w:top w:val="none" w:sz="0" w:space="0" w:color="auto"/>
                    <w:left w:val="none" w:sz="0" w:space="0" w:color="auto"/>
                    <w:bottom w:val="single" w:sz="6" w:space="11" w:color="999999"/>
                    <w:right w:val="none" w:sz="0" w:space="0" w:color="auto"/>
                  </w:divBdr>
                </w:div>
              </w:divsChild>
            </w:div>
          </w:divsChild>
        </w:div>
      </w:divsChild>
    </w:div>
    <w:div w:id="1733578559">
      <w:bodyDiv w:val="1"/>
      <w:marLeft w:val="0"/>
      <w:marRight w:val="0"/>
      <w:marTop w:val="0"/>
      <w:marBottom w:val="0"/>
      <w:divBdr>
        <w:top w:val="none" w:sz="0" w:space="0" w:color="auto"/>
        <w:left w:val="none" w:sz="0" w:space="0" w:color="auto"/>
        <w:bottom w:val="none" w:sz="0" w:space="0" w:color="auto"/>
        <w:right w:val="none" w:sz="0" w:space="0" w:color="auto"/>
      </w:divBdr>
      <w:divsChild>
        <w:div w:id="172230212">
          <w:marLeft w:val="0"/>
          <w:marRight w:val="0"/>
          <w:marTop w:val="0"/>
          <w:marBottom w:val="0"/>
          <w:divBdr>
            <w:top w:val="none" w:sz="0" w:space="0" w:color="auto"/>
            <w:left w:val="none" w:sz="0" w:space="0" w:color="auto"/>
            <w:bottom w:val="none" w:sz="0" w:space="0" w:color="auto"/>
            <w:right w:val="none" w:sz="0" w:space="0" w:color="auto"/>
          </w:divBdr>
          <w:divsChild>
            <w:div w:id="160975468">
              <w:marLeft w:val="0"/>
              <w:marRight w:val="0"/>
              <w:marTop w:val="0"/>
              <w:marBottom w:val="0"/>
              <w:divBdr>
                <w:top w:val="none" w:sz="0" w:space="0" w:color="auto"/>
                <w:left w:val="none" w:sz="0" w:space="0" w:color="auto"/>
                <w:bottom w:val="none" w:sz="0" w:space="0" w:color="auto"/>
                <w:right w:val="none" w:sz="0" w:space="0" w:color="auto"/>
              </w:divBdr>
            </w:div>
            <w:div w:id="296835103">
              <w:marLeft w:val="0"/>
              <w:marRight w:val="0"/>
              <w:marTop w:val="0"/>
              <w:marBottom w:val="0"/>
              <w:divBdr>
                <w:top w:val="none" w:sz="0" w:space="0" w:color="auto"/>
                <w:left w:val="none" w:sz="0" w:space="0" w:color="auto"/>
                <w:bottom w:val="none" w:sz="0" w:space="0" w:color="auto"/>
                <w:right w:val="none" w:sz="0" w:space="0" w:color="auto"/>
              </w:divBdr>
            </w:div>
            <w:div w:id="786893236">
              <w:marLeft w:val="0"/>
              <w:marRight w:val="0"/>
              <w:marTop w:val="0"/>
              <w:marBottom w:val="0"/>
              <w:divBdr>
                <w:top w:val="none" w:sz="0" w:space="0" w:color="auto"/>
                <w:left w:val="none" w:sz="0" w:space="0" w:color="auto"/>
                <w:bottom w:val="none" w:sz="0" w:space="0" w:color="auto"/>
                <w:right w:val="none" w:sz="0" w:space="0" w:color="auto"/>
              </w:divBdr>
            </w:div>
            <w:div w:id="796221582">
              <w:marLeft w:val="0"/>
              <w:marRight w:val="0"/>
              <w:marTop w:val="0"/>
              <w:marBottom w:val="0"/>
              <w:divBdr>
                <w:top w:val="none" w:sz="0" w:space="0" w:color="auto"/>
                <w:left w:val="none" w:sz="0" w:space="0" w:color="auto"/>
                <w:bottom w:val="none" w:sz="0" w:space="0" w:color="auto"/>
                <w:right w:val="none" w:sz="0" w:space="0" w:color="auto"/>
              </w:divBdr>
            </w:div>
            <w:div w:id="809828821">
              <w:marLeft w:val="0"/>
              <w:marRight w:val="0"/>
              <w:marTop w:val="0"/>
              <w:marBottom w:val="0"/>
              <w:divBdr>
                <w:top w:val="none" w:sz="0" w:space="0" w:color="auto"/>
                <w:left w:val="none" w:sz="0" w:space="0" w:color="auto"/>
                <w:bottom w:val="none" w:sz="0" w:space="0" w:color="auto"/>
                <w:right w:val="none" w:sz="0" w:space="0" w:color="auto"/>
              </w:divBdr>
            </w:div>
            <w:div w:id="966397663">
              <w:marLeft w:val="0"/>
              <w:marRight w:val="0"/>
              <w:marTop w:val="0"/>
              <w:marBottom w:val="0"/>
              <w:divBdr>
                <w:top w:val="none" w:sz="0" w:space="0" w:color="auto"/>
                <w:left w:val="none" w:sz="0" w:space="0" w:color="auto"/>
                <w:bottom w:val="none" w:sz="0" w:space="0" w:color="auto"/>
                <w:right w:val="none" w:sz="0" w:space="0" w:color="auto"/>
              </w:divBdr>
            </w:div>
            <w:div w:id="1290282570">
              <w:marLeft w:val="0"/>
              <w:marRight w:val="0"/>
              <w:marTop w:val="0"/>
              <w:marBottom w:val="0"/>
              <w:divBdr>
                <w:top w:val="none" w:sz="0" w:space="0" w:color="auto"/>
                <w:left w:val="none" w:sz="0" w:space="0" w:color="auto"/>
                <w:bottom w:val="none" w:sz="0" w:space="0" w:color="auto"/>
                <w:right w:val="none" w:sz="0" w:space="0" w:color="auto"/>
              </w:divBdr>
            </w:div>
            <w:div w:id="1295401956">
              <w:marLeft w:val="0"/>
              <w:marRight w:val="0"/>
              <w:marTop w:val="0"/>
              <w:marBottom w:val="0"/>
              <w:divBdr>
                <w:top w:val="none" w:sz="0" w:space="0" w:color="auto"/>
                <w:left w:val="none" w:sz="0" w:space="0" w:color="auto"/>
                <w:bottom w:val="none" w:sz="0" w:space="0" w:color="auto"/>
                <w:right w:val="none" w:sz="0" w:space="0" w:color="auto"/>
              </w:divBdr>
            </w:div>
            <w:div w:id="1392925352">
              <w:marLeft w:val="0"/>
              <w:marRight w:val="0"/>
              <w:marTop w:val="0"/>
              <w:marBottom w:val="0"/>
              <w:divBdr>
                <w:top w:val="none" w:sz="0" w:space="0" w:color="auto"/>
                <w:left w:val="none" w:sz="0" w:space="0" w:color="auto"/>
                <w:bottom w:val="none" w:sz="0" w:space="0" w:color="auto"/>
                <w:right w:val="none" w:sz="0" w:space="0" w:color="auto"/>
              </w:divBdr>
            </w:div>
            <w:div w:id="1895391025">
              <w:marLeft w:val="0"/>
              <w:marRight w:val="0"/>
              <w:marTop w:val="0"/>
              <w:marBottom w:val="0"/>
              <w:divBdr>
                <w:top w:val="none" w:sz="0" w:space="0" w:color="auto"/>
                <w:left w:val="none" w:sz="0" w:space="0" w:color="auto"/>
                <w:bottom w:val="none" w:sz="0" w:space="0" w:color="auto"/>
                <w:right w:val="none" w:sz="0" w:space="0" w:color="auto"/>
              </w:divBdr>
            </w:div>
            <w:div w:id="20384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3532">
      <w:bodyDiv w:val="1"/>
      <w:marLeft w:val="0"/>
      <w:marRight w:val="0"/>
      <w:marTop w:val="0"/>
      <w:marBottom w:val="0"/>
      <w:divBdr>
        <w:top w:val="none" w:sz="0" w:space="0" w:color="auto"/>
        <w:left w:val="none" w:sz="0" w:space="0" w:color="auto"/>
        <w:bottom w:val="none" w:sz="0" w:space="0" w:color="auto"/>
        <w:right w:val="none" w:sz="0" w:space="0" w:color="auto"/>
      </w:divBdr>
      <w:divsChild>
        <w:div w:id="638615248">
          <w:marLeft w:val="0"/>
          <w:marRight w:val="0"/>
          <w:marTop w:val="0"/>
          <w:marBottom w:val="0"/>
          <w:divBdr>
            <w:top w:val="none" w:sz="0" w:space="0" w:color="auto"/>
            <w:left w:val="none" w:sz="0" w:space="0" w:color="auto"/>
            <w:bottom w:val="none" w:sz="0" w:space="0" w:color="auto"/>
            <w:right w:val="none" w:sz="0" w:space="0" w:color="auto"/>
          </w:divBdr>
        </w:div>
        <w:div w:id="146600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yez.org/cases/2014/14-556"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yez.org/cases/case/?case=1792-1850/1819/1819_"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ncsl.org/research/human-services/same-sex-marriage-law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5048</Words>
  <Characters>28864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Judicial decisions</vt:lpstr>
    </vt:vector>
  </TitlesOfParts>
  <Company>harding university</Company>
  <LinksUpToDate>false</LinksUpToDate>
  <CharactersWithSpaces>33845</CharactersWithSpaces>
  <SharedDoc>false</SharedDoc>
  <HLinks>
    <vt:vector size="24" baseType="variant">
      <vt:variant>
        <vt:i4>8323181</vt:i4>
      </vt:variant>
      <vt:variant>
        <vt:i4>138</vt:i4>
      </vt:variant>
      <vt:variant>
        <vt:i4>0</vt:i4>
      </vt:variant>
      <vt:variant>
        <vt:i4>5</vt:i4>
      </vt:variant>
      <vt:variant>
        <vt:lpwstr>http://www.sbcbaptistpress.org/BPnews.asp?ID=34654</vt:lpwstr>
      </vt:variant>
      <vt:variant>
        <vt:lpwstr/>
      </vt:variant>
      <vt:variant>
        <vt:i4>4653122</vt:i4>
      </vt:variant>
      <vt:variant>
        <vt:i4>135</vt:i4>
      </vt:variant>
      <vt:variant>
        <vt:i4>0</vt:i4>
      </vt:variant>
      <vt:variant>
        <vt:i4>5</vt:i4>
      </vt:variant>
      <vt:variant>
        <vt:lpwstr>http://pewresearch.org/pubs/418/gay-marriage-ripe-for-court-decisions-in-three-states</vt:lpwstr>
      </vt:variant>
      <vt:variant>
        <vt:lpwstr/>
      </vt:variant>
      <vt:variant>
        <vt:i4>4521989</vt:i4>
      </vt:variant>
      <vt:variant>
        <vt:i4>3</vt:i4>
      </vt:variant>
      <vt:variant>
        <vt:i4>0</vt:i4>
      </vt:variant>
      <vt:variant>
        <vt:i4>5</vt:i4>
      </vt:variant>
      <vt:variant>
        <vt:lpwstr>http://www.oyez.org/cases/case/?case=1792-1850/1819/1819_</vt:lpwstr>
      </vt:variant>
      <vt:variant>
        <vt:lpwstr/>
      </vt:variant>
      <vt:variant>
        <vt:i4>3342382</vt:i4>
      </vt:variant>
      <vt:variant>
        <vt:i4>0</vt:i4>
      </vt:variant>
      <vt:variant>
        <vt:i4>0</vt:i4>
      </vt:variant>
      <vt:variant>
        <vt:i4>5</vt:i4>
      </vt:variant>
      <vt:variant>
        <vt:lpwstr>http://www.domawatch.org/stateissues/index.html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decisions</dc:title>
  <dc:creator>lori klein</dc:creator>
  <cp:lastModifiedBy>HU</cp:lastModifiedBy>
  <cp:revision>3</cp:revision>
  <cp:lastPrinted>2014-02-25T06:33:00Z</cp:lastPrinted>
  <dcterms:created xsi:type="dcterms:W3CDTF">2016-02-15T08:40:00Z</dcterms:created>
  <dcterms:modified xsi:type="dcterms:W3CDTF">2016-02-15T08:48:00Z</dcterms:modified>
</cp:coreProperties>
</file>