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315" w:rsidRPr="006E0315" w:rsidRDefault="006E0315" w:rsidP="006E0315">
      <w:pPr>
        <w:autoSpaceDE w:val="0"/>
        <w:autoSpaceDN w:val="0"/>
        <w:adjustRightInd w:val="0"/>
        <w:spacing w:after="0" w:line="240" w:lineRule="auto"/>
        <w:jc w:val="center"/>
        <w:rPr>
          <w:rFonts w:cstheme="minorHAnsi"/>
          <w:sz w:val="28"/>
          <w:szCs w:val="28"/>
        </w:rPr>
      </w:pPr>
      <w:r w:rsidRPr="006E0315">
        <w:rPr>
          <w:rFonts w:cstheme="minorHAnsi"/>
          <w:sz w:val="28"/>
          <w:szCs w:val="28"/>
        </w:rPr>
        <w:t>A million here, a million there…</w:t>
      </w:r>
    </w:p>
    <w:p w:rsidR="006E0315" w:rsidRPr="006E0315" w:rsidRDefault="006E0315" w:rsidP="006E0315">
      <w:pPr>
        <w:autoSpaceDE w:val="0"/>
        <w:autoSpaceDN w:val="0"/>
        <w:adjustRightInd w:val="0"/>
        <w:spacing w:after="0" w:line="240" w:lineRule="auto"/>
        <w:ind w:left="540"/>
        <w:jc w:val="center"/>
        <w:rPr>
          <w:rFonts w:cstheme="minorHAnsi"/>
          <w:sz w:val="28"/>
          <w:szCs w:val="28"/>
        </w:rPr>
      </w:pPr>
      <w:r w:rsidRPr="006E0315">
        <w:rPr>
          <w:rFonts w:cstheme="minorHAnsi"/>
          <w:sz w:val="28"/>
          <w:szCs w:val="28"/>
        </w:rPr>
        <w:t>Other Peoples’ Money:</w:t>
      </w:r>
    </w:p>
    <w:p w:rsidR="006E0315" w:rsidRPr="006E0315" w:rsidRDefault="006E0315" w:rsidP="006E0315">
      <w:pPr>
        <w:autoSpaceDE w:val="0"/>
        <w:autoSpaceDN w:val="0"/>
        <w:adjustRightInd w:val="0"/>
        <w:spacing w:after="0" w:line="240" w:lineRule="auto"/>
        <w:ind w:left="540"/>
        <w:jc w:val="center"/>
        <w:rPr>
          <w:rFonts w:cstheme="minorHAnsi"/>
          <w:sz w:val="28"/>
          <w:szCs w:val="28"/>
        </w:rPr>
      </w:pPr>
      <w:r w:rsidRPr="006E0315">
        <w:rPr>
          <w:rFonts w:cstheme="minorHAnsi"/>
          <w:sz w:val="28"/>
          <w:szCs w:val="28"/>
        </w:rPr>
        <w:t>State Budgeting and Fiscal Policies</w:t>
      </w:r>
    </w:p>
    <w:p w:rsidR="006E0315" w:rsidRDefault="006E0315" w:rsidP="006E0315">
      <w:pPr>
        <w:autoSpaceDE w:val="0"/>
        <w:autoSpaceDN w:val="0"/>
        <w:adjustRightInd w:val="0"/>
        <w:spacing w:after="0" w:line="240" w:lineRule="auto"/>
        <w:rPr>
          <w:rFonts w:cstheme="minorHAnsi"/>
          <w:sz w:val="28"/>
          <w:szCs w:val="28"/>
        </w:rPr>
      </w:pPr>
    </w:p>
    <w:p w:rsidR="006E0315" w:rsidRPr="006E0315" w:rsidRDefault="006E0315" w:rsidP="006E0315">
      <w:pPr>
        <w:autoSpaceDE w:val="0"/>
        <w:autoSpaceDN w:val="0"/>
        <w:adjustRightInd w:val="0"/>
        <w:spacing w:after="0" w:line="240" w:lineRule="auto"/>
        <w:rPr>
          <w:rFonts w:cstheme="minorHAnsi"/>
          <w:sz w:val="28"/>
          <w:szCs w:val="28"/>
        </w:rPr>
      </w:pPr>
      <w:r w:rsidRPr="006E0315">
        <w:rPr>
          <w:rFonts w:cstheme="minorHAnsi"/>
          <w:sz w:val="28"/>
          <w:szCs w:val="28"/>
        </w:rPr>
        <w:t>Let’s Got to the Web</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u w:val="single"/>
        </w:rPr>
        <w:t>www.dfa.</w:t>
      </w:r>
      <w:r w:rsidRPr="006E0315">
        <w:rPr>
          <w:rFonts w:cstheme="minorHAnsi"/>
          <w:b/>
          <w:bCs/>
          <w:sz w:val="28"/>
          <w:szCs w:val="28"/>
          <w:u w:val="single"/>
        </w:rPr>
        <w:t>arkansas</w:t>
      </w:r>
      <w:r w:rsidRPr="006E0315">
        <w:rPr>
          <w:rFonts w:cstheme="minorHAnsi"/>
          <w:sz w:val="28"/>
          <w:szCs w:val="28"/>
          <w:u w:val="single"/>
        </w:rPr>
        <w:t>.gov/offices/</w:t>
      </w:r>
      <w:r w:rsidRPr="006E0315">
        <w:rPr>
          <w:rFonts w:cstheme="minorHAnsi"/>
          <w:b/>
          <w:bCs/>
          <w:sz w:val="28"/>
          <w:szCs w:val="28"/>
          <w:u w:val="single"/>
        </w:rPr>
        <w:t>budget</w:t>
      </w:r>
      <w:r w:rsidRPr="006E0315">
        <w:rPr>
          <w:rFonts w:cstheme="minorHAnsi"/>
          <w:sz w:val="28"/>
          <w:szCs w:val="28"/>
          <w:u w:val="single"/>
        </w:rPr>
        <w:t>/Documents/</w:t>
      </w:r>
      <w:r w:rsidRPr="006E0315">
        <w:rPr>
          <w:rFonts w:cstheme="minorHAnsi"/>
          <w:b/>
          <w:bCs/>
          <w:sz w:val="28"/>
          <w:szCs w:val="28"/>
          <w:u w:val="single"/>
        </w:rPr>
        <w:t>budget</w:t>
      </w:r>
      <w:r w:rsidRPr="006E0315">
        <w:rPr>
          <w:rFonts w:cstheme="minorHAnsi"/>
          <w:sz w:val="28"/>
          <w:szCs w:val="28"/>
          <w:u w:val="single"/>
        </w:rPr>
        <w:t>_</w:t>
      </w:r>
      <w:r w:rsidRPr="006E0315">
        <w:rPr>
          <w:rFonts w:cstheme="minorHAnsi"/>
          <w:b/>
          <w:bCs/>
          <w:sz w:val="28"/>
          <w:szCs w:val="28"/>
          <w:u w:val="single"/>
        </w:rPr>
        <w:t>facts</w:t>
      </w:r>
      <w:r w:rsidRPr="006E0315">
        <w:rPr>
          <w:rFonts w:cstheme="minorHAnsi"/>
          <w:sz w:val="28"/>
          <w:szCs w:val="28"/>
          <w:u w:val="single"/>
        </w:rPr>
        <w:t>.doc</w:t>
      </w:r>
      <w:r w:rsidRPr="006E0315">
        <w:rPr>
          <w:rFonts w:cstheme="minorHAnsi"/>
          <w:sz w:val="28"/>
          <w:szCs w:val="28"/>
        </w:rPr>
        <w:t xml:space="preserve"> </w:t>
      </w:r>
    </w:p>
    <w:p w:rsidR="00323133" w:rsidRDefault="00323133" w:rsidP="00323133">
      <w:pPr>
        <w:pStyle w:val="Subtitle"/>
        <w:spacing w:after="0" w:line="240" w:lineRule="auto"/>
        <w:rPr>
          <w:rFonts w:ascii="Arial Narrow" w:hAnsi="Arial Narrow"/>
          <w:b/>
          <w:color w:val="000080"/>
          <w:sz w:val="26"/>
        </w:rPr>
      </w:pPr>
      <w:r>
        <w:rPr>
          <w:rFonts w:ascii="Arial Narrow" w:hAnsi="Arial Narrow"/>
          <w:b/>
          <w:color w:val="000080"/>
          <w:sz w:val="26"/>
        </w:rPr>
        <w:t>FISCAL YEAR 2011</w:t>
      </w:r>
    </w:p>
    <w:p w:rsidR="00323133" w:rsidRDefault="00323133" w:rsidP="00323133">
      <w:pPr>
        <w:pStyle w:val="Subtitle"/>
        <w:spacing w:after="0" w:line="240" w:lineRule="auto"/>
        <w:rPr>
          <w:rFonts w:ascii="Arial Narrow" w:hAnsi="Arial Narrow"/>
          <w:b/>
          <w:color w:val="FF0000"/>
          <w:sz w:val="26"/>
        </w:rPr>
      </w:pPr>
      <w:r>
        <w:rPr>
          <w:rFonts w:ascii="Arial Narrow" w:hAnsi="Arial Narrow"/>
          <w:b/>
          <w:color w:val="FF0000"/>
          <w:sz w:val="26"/>
        </w:rPr>
        <w:t>GENERAL REVENUE FUNDS</w:t>
      </w:r>
    </w:p>
    <w:p w:rsidR="00323133" w:rsidRDefault="00323133" w:rsidP="00323133">
      <w:pPr>
        <w:pStyle w:val="Subtitle"/>
        <w:spacing w:after="0" w:line="240" w:lineRule="auto"/>
        <w:rPr>
          <w:rFonts w:ascii="Arial Narrow" w:hAnsi="Arial Narrow"/>
          <w:color w:val="FF0000"/>
          <w:sz w:val="26"/>
        </w:rPr>
      </w:pPr>
      <w:r>
        <w:rPr>
          <w:rFonts w:ascii="Arial Narrow" w:hAnsi="Arial Narrow"/>
          <w:color w:val="FF0000"/>
          <w:sz w:val="26"/>
        </w:rPr>
        <w:t>DISTRIBUTION</w:t>
      </w:r>
    </w:p>
    <w:p w:rsidR="00323133" w:rsidRDefault="00323133" w:rsidP="00323133">
      <w:pPr>
        <w:pStyle w:val="Subtitle"/>
        <w:spacing w:after="0" w:line="240" w:lineRule="auto"/>
        <w:rPr>
          <w:rFonts w:ascii="Arial Narrow" w:hAnsi="Arial Narrow"/>
          <w:b/>
          <w:color w:val="000080"/>
          <w:sz w:val="26"/>
        </w:rPr>
      </w:pPr>
      <w:r>
        <w:rPr>
          <w:rFonts w:ascii="Arial Narrow" w:hAnsi="Arial Narrow"/>
          <w:b/>
          <w:color w:val="000080"/>
          <w:sz w:val="26"/>
        </w:rPr>
        <w:t>$4,747.5 (Millions)</w:t>
      </w:r>
    </w:p>
    <w:p w:rsidR="00323133" w:rsidRDefault="00323133" w:rsidP="00323133">
      <w:pPr>
        <w:pStyle w:val="BodyText"/>
        <w:spacing w:after="0" w:line="240" w:lineRule="auto"/>
        <w:ind w:left="-90" w:right="-60"/>
        <w:jc w:val="center"/>
        <w:rPr>
          <w:rFonts w:ascii="Arial Narrow" w:hAnsi="Arial Narrow"/>
          <w:color w:val="FF0000"/>
          <w:sz w:val="20"/>
        </w:rPr>
      </w:pPr>
      <w:r>
        <w:rPr>
          <w:rFonts w:ascii="Arial Narrow" w:hAnsi="Arial Narrow"/>
          <w:color w:val="FF0000"/>
          <w:sz w:val="20"/>
        </w:rPr>
        <w:t>Did you know 87</w:t>
      </w:r>
      <w:r>
        <w:rPr>
          <w:rFonts w:ascii="Arial" w:hAnsi="Arial" w:cs="Arial"/>
          <w:color w:val="FF0000"/>
          <w:sz w:val="20"/>
        </w:rPr>
        <w:t>¢</w:t>
      </w:r>
      <w:r>
        <w:rPr>
          <w:rFonts w:ascii="Arial Narrow" w:hAnsi="Arial Narrow"/>
          <w:color w:val="FF0000"/>
          <w:sz w:val="20"/>
        </w:rPr>
        <w:t xml:space="preserve"> of every general revenue tax dollar </w:t>
      </w:r>
      <w:proofErr w:type="gramStart"/>
      <w:r>
        <w:rPr>
          <w:rFonts w:ascii="Arial Narrow" w:hAnsi="Arial Narrow"/>
          <w:color w:val="FF0000"/>
          <w:sz w:val="20"/>
        </w:rPr>
        <w:t>is</w:t>
      </w:r>
      <w:proofErr w:type="gramEnd"/>
    </w:p>
    <w:p w:rsidR="00323133" w:rsidRDefault="00323133" w:rsidP="00323133">
      <w:pPr>
        <w:pStyle w:val="BodyText"/>
        <w:spacing w:after="0" w:line="240" w:lineRule="auto"/>
        <w:ind w:left="-90" w:right="-60"/>
        <w:jc w:val="center"/>
      </w:pPr>
      <w:proofErr w:type="gramStart"/>
      <w:r>
        <w:rPr>
          <w:rFonts w:ascii="Arial Narrow" w:hAnsi="Arial Narrow"/>
          <w:color w:val="FF0000"/>
          <w:sz w:val="20"/>
        </w:rPr>
        <w:t>spent</w:t>
      </w:r>
      <w:proofErr w:type="gramEnd"/>
      <w:r>
        <w:rPr>
          <w:rFonts w:ascii="Arial Narrow" w:hAnsi="Arial Narrow"/>
          <w:color w:val="FF0000"/>
          <w:sz w:val="20"/>
        </w:rPr>
        <w:t xml:space="preserve"> on education, health, and human services?</w:t>
      </w:r>
      <w:r>
        <w:rPr>
          <w:sz w:val="18"/>
        </w:rPr>
        <w:t xml:space="preserve"> </w:t>
      </w:r>
    </w:p>
    <w:p w:rsidR="00323133" w:rsidRPr="006E0315" w:rsidRDefault="00323133" w:rsidP="00323133">
      <w:pPr>
        <w:autoSpaceDE w:val="0"/>
        <w:autoSpaceDN w:val="0"/>
        <w:adjustRightInd w:val="0"/>
        <w:spacing w:after="0" w:line="240" w:lineRule="auto"/>
        <w:ind w:left="540"/>
        <w:jc w:val="center"/>
        <w:rPr>
          <w:rFonts w:cstheme="minorHAnsi"/>
          <w:sz w:val="28"/>
          <w:szCs w:val="28"/>
        </w:rPr>
      </w:pPr>
      <w:r>
        <w:rPr>
          <w:noProof/>
          <w:sz w:val="18"/>
        </w:rPr>
        <w:drawing>
          <wp:inline distT="0" distB="0" distL="0" distR="0">
            <wp:extent cx="2819400" cy="1724025"/>
            <wp:effectExtent l="0" t="0" r="1905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E0315" w:rsidRPr="006E0315" w:rsidRDefault="006E0315" w:rsidP="006E0315">
      <w:pPr>
        <w:autoSpaceDE w:val="0"/>
        <w:autoSpaceDN w:val="0"/>
        <w:adjustRightInd w:val="0"/>
        <w:spacing w:after="0" w:line="240" w:lineRule="auto"/>
        <w:ind w:left="540"/>
        <w:rPr>
          <w:rFonts w:cstheme="minorHAnsi"/>
          <w:sz w:val="28"/>
          <w:szCs w:val="28"/>
        </w:rPr>
      </w:pPr>
    </w:p>
    <w:p w:rsidR="006E0315" w:rsidRPr="006E0315" w:rsidRDefault="006E0315" w:rsidP="006E0315">
      <w:pPr>
        <w:autoSpaceDE w:val="0"/>
        <w:autoSpaceDN w:val="0"/>
        <w:adjustRightInd w:val="0"/>
        <w:spacing w:after="0" w:line="240" w:lineRule="auto"/>
        <w:rPr>
          <w:rFonts w:cstheme="minorHAnsi"/>
          <w:sz w:val="28"/>
          <w:szCs w:val="28"/>
        </w:rPr>
      </w:pPr>
      <w:r w:rsidRPr="006E0315">
        <w:rPr>
          <w:rFonts w:cstheme="minorHAnsi"/>
          <w:b/>
          <w:bCs/>
          <w:sz w:val="28"/>
          <w:szCs w:val="28"/>
          <w:u w:val="single"/>
        </w:rPr>
        <w:t>Budgeting Definitions</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Fiscal: Having to do with money</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Budget: A spending plan</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Revenue: Money coming in to the govern</w:t>
      </w:r>
      <w:r>
        <w:rPr>
          <w:rFonts w:cstheme="minorHAnsi"/>
          <w:sz w:val="28"/>
          <w:szCs w:val="28"/>
        </w:rPr>
        <w:t xml:space="preserve">ment from ALL sources (not just </w:t>
      </w:r>
      <w:r w:rsidRPr="006E0315">
        <w:rPr>
          <w:rFonts w:cstheme="minorHAnsi"/>
          <w:sz w:val="28"/>
          <w:szCs w:val="28"/>
        </w:rPr>
        <w:t>taxes)</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Expenditures: Money going out</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Appropriation: Legal authority to spend money</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Funding Source: Designated source for money to come from – General revenue or special funds</w:t>
      </w:r>
    </w:p>
    <w:p w:rsidR="006E0315" w:rsidRPr="006E0315" w:rsidRDefault="006E0315" w:rsidP="006E0315">
      <w:pPr>
        <w:autoSpaceDE w:val="0"/>
        <w:autoSpaceDN w:val="0"/>
        <w:adjustRightInd w:val="0"/>
        <w:spacing w:after="0" w:line="240" w:lineRule="auto"/>
        <w:ind w:left="540" w:hanging="540"/>
        <w:rPr>
          <w:rFonts w:cstheme="minorHAnsi"/>
          <w:sz w:val="28"/>
          <w:szCs w:val="28"/>
        </w:rPr>
      </w:pP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 xml:space="preserve">Allocation: to distribute among funds or priority levels </w:t>
      </w:r>
    </w:p>
    <w:p w:rsidR="006E0315" w:rsidRDefault="006E0315" w:rsidP="006E0315">
      <w:pPr>
        <w:autoSpaceDE w:val="0"/>
        <w:autoSpaceDN w:val="0"/>
        <w:adjustRightInd w:val="0"/>
        <w:spacing w:after="0" w:line="240" w:lineRule="auto"/>
        <w:rPr>
          <w:rFonts w:cstheme="minorHAnsi"/>
          <w:sz w:val="28"/>
          <w:szCs w:val="28"/>
        </w:rPr>
      </w:pPr>
    </w:p>
    <w:p w:rsidR="006E0315" w:rsidRPr="006E0315" w:rsidRDefault="006E0315" w:rsidP="006E0315">
      <w:pPr>
        <w:autoSpaceDE w:val="0"/>
        <w:autoSpaceDN w:val="0"/>
        <w:adjustRightInd w:val="0"/>
        <w:spacing w:after="0" w:line="240" w:lineRule="auto"/>
        <w:rPr>
          <w:rFonts w:cstheme="minorHAnsi"/>
          <w:sz w:val="28"/>
          <w:szCs w:val="28"/>
        </w:rPr>
      </w:pPr>
      <w:r w:rsidRPr="006E0315">
        <w:rPr>
          <w:rFonts w:cstheme="minorHAnsi"/>
          <w:sz w:val="28"/>
          <w:szCs w:val="28"/>
        </w:rPr>
        <w:t>To spend money you need:</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Authorization (an appropriation)</w:t>
      </w:r>
    </w:p>
    <w:p w:rsidR="006E0315" w:rsidRPr="006E0315" w:rsidRDefault="006E0315" w:rsidP="006E0315">
      <w:pPr>
        <w:autoSpaceDE w:val="0"/>
        <w:autoSpaceDN w:val="0"/>
        <w:adjustRightInd w:val="0"/>
        <w:spacing w:after="0" w:line="240" w:lineRule="auto"/>
        <w:ind w:left="540" w:hanging="540"/>
        <w:rPr>
          <w:rFonts w:cstheme="minorHAnsi"/>
          <w:sz w:val="28"/>
          <w:szCs w:val="28"/>
        </w:rPr>
      </w:pP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Funds (revenue)</w:t>
      </w:r>
    </w:p>
    <w:p w:rsidR="006E0315" w:rsidRPr="006E0315" w:rsidRDefault="006E0315" w:rsidP="006E0315">
      <w:pPr>
        <w:autoSpaceDE w:val="0"/>
        <w:autoSpaceDN w:val="0"/>
        <w:adjustRightInd w:val="0"/>
        <w:spacing w:after="0" w:line="240" w:lineRule="auto"/>
        <w:ind w:left="540" w:hanging="540"/>
        <w:rPr>
          <w:rFonts w:cstheme="minorHAnsi"/>
          <w:sz w:val="28"/>
          <w:szCs w:val="28"/>
        </w:rPr>
      </w:pP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You must have BOTH</w:t>
      </w:r>
    </w:p>
    <w:p w:rsidR="006E0315" w:rsidRPr="006E0315" w:rsidRDefault="006E0315" w:rsidP="006E0315">
      <w:pPr>
        <w:numPr>
          <w:ilvl w:val="0"/>
          <w:numId w:val="3"/>
        </w:numPr>
        <w:autoSpaceDE w:val="0"/>
        <w:autoSpaceDN w:val="0"/>
        <w:adjustRightInd w:val="0"/>
        <w:spacing w:after="0" w:line="240" w:lineRule="auto"/>
        <w:ind w:left="1170" w:hanging="450"/>
        <w:rPr>
          <w:rFonts w:cstheme="minorHAnsi"/>
          <w:sz w:val="28"/>
          <w:szCs w:val="28"/>
        </w:rPr>
      </w:pPr>
      <w:r w:rsidRPr="006E0315">
        <w:rPr>
          <w:rFonts w:cstheme="minorHAnsi"/>
          <w:sz w:val="28"/>
          <w:szCs w:val="28"/>
        </w:rPr>
        <w:t>A check book with checks but no cash on deposit will get you in trouble</w:t>
      </w:r>
    </w:p>
    <w:p w:rsidR="006E0315" w:rsidRPr="006E0315" w:rsidRDefault="006E0315" w:rsidP="006E0315">
      <w:pPr>
        <w:numPr>
          <w:ilvl w:val="0"/>
          <w:numId w:val="3"/>
        </w:numPr>
        <w:autoSpaceDE w:val="0"/>
        <w:autoSpaceDN w:val="0"/>
        <w:adjustRightInd w:val="0"/>
        <w:spacing w:after="0" w:line="240" w:lineRule="auto"/>
        <w:ind w:left="1170" w:hanging="450"/>
        <w:rPr>
          <w:rFonts w:cstheme="minorHAnsi"/>
          <w:sz w:val="28"/>
          <w:szCs w:val="28"/>
        </w:rPr>
      </w:pPr>
      <w:r w:rsidRPr="006E0315">
        <w:rPr>
          <w:rFonts w:cstheme="minorHAnsi"/>
          <w:sz w:val="28"/>
          <w:szCs w:val="28"/>
        </w:rPr>
        <w:t>Cash in the bank, but a lost ATM card still means no pizza</w:t>
      </w:r>
    </w:p>
    <w:p w:rsidR="006E0315" w:rsidRDefault="006E0315" w:rsidP="006E0315">
      <w:pPr>
        <w:autoSpaceDE w:val="0"/>
        <w:autoSpaceDN w:val="0"/>
        <w:adjustRightInd w:val="0"/>
        <w:spacing w:after="0" w:line="240" w:lineRule="auto"/>
        <w:rPr>
          <w:rFonts w:cstheme="minorHAnsi"/>
          <w:sz w:val="28"/>
          <w:szCs w:val="28"/>
        </w:rPr>
      </w:pPr>
    </w:p>
    <w:p w:rsidR="006E0315" w:rsidRPr="006E0315" w:rsidRDefault="006E0315" w:rsidP="006E0315">
      <w:pPr>
        <w:autoSpaceDE w:val="0"/>
        <w:autoSpaceDN w:val="0"/>
        <w:adjustRightInd w:val="0"/>
        <w:spacing w:after="0" w:line="240" w:lineRule="auto"/>
        <w:rPr>
          <w:rFonts w:cstheme="minorHAnsi"/>
          <w:sz w:val="28"/>
          <w:szCs w:val="28"/>
        </w:rPr>
      </w:pPr>
      <w:r w:rsidRPr="006E0315">
        <w:rPr>
          <w:rFonts w:cstheme="minorHAnsi"/>
          <w:sz w:val="28"/>
          <w:szCs w:val="28"/>
        </w:rPr>
        <w:t>Balanced Budget</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Revenues equal expenditures</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lastRenderedPageBreak/>
        <w:t xml:space="preserve">State </w:t>
      </w:r>
      <w:proofErr w:type="gramStart"/>
      <w:r w:rsidRPr="006E0315">
        <w:rPr>
          <w:rFonts w:cstheme="minorHAnsi"/>
          <w:sz w:val="28"/>
          <w:szCs w:val="28"/>
        </w:rPr>
        <w:t>Constitutions  (</w:t>
      </w:r>
      <w:proofErr w:type="gramEnd"/>
      <w:r w:rsidRPr="006E0315">
        <w:rPr>
          <w:rFonts w:cstheme="minorHAnsi"/>
          <w:sz w:val="28"/>
          <w:szCs w:val="28"/>
        </w:rPr>
        <w:t>unlike some levels we know…) require balanced budgets in every state except Vermont</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How do you know how much revenue there will be?</w:t>
      </w:r>
    </w:p>
    <w:p w:rsidR="006E0315" w:rsidRPr="006E0315" w:rsidRDefault="006E0315" w:rsidP="006E0315">
      <w:pPr>
        <w:numPr>
          <w:ilvl w:val="0"/>
          <w:numId w:val="5"/>
        </w:numPr>
        <w:autoSpaceDE w:val="0"/>
        <w:autoSpaceDN w:val="0"/>
        <w:adjustRightInd w:val="0"/>
        <w:spacing w:after="0" w:line="240" w:lineRule="auto"/>
        <w:ind w:left="1170" w:hanging="450"/>
        <w:rPr>
          <w:rFonts w:cstheme="minorHAnsi"/>
          <w:sz w:val="28"/>
          <w:szCs w:val="28"/>
        </w:rPr>
      </w:pPr>
      <w:r w:rsidRPr="006E0315">
        <w:rPr>
          <w:rFonts w:cstheme="minorHAnsi"/>
          <w:sz w:val="28"/>
          <w:szCs w:val="28"/>
        </w:rPr>
        <w:t>The Dark Art of Revenue Estimating</w:t>
      </w:r>
    </w:p>
    <w:p w:rsidR="006E0315" w:rsidRPr="006E0315" w:rsidRDefault="006E0315" w:rsidP="006E0315">
      <w:pPr>
        <w:numPr>
          <w:ilvl w:val="0"/>
          <w:numId w:val="5"/>
        </w:numPr>
        <w:autoSpaceDE w:val="0"/>
        <w:autoSpaceDN w:val="0"/>
        <w:adjustRightInd w:val="0"/>
        <w:spacing w:after="0" w:line="240" w:lineRule="auto"/>
        <w:ind w:left="1170" w:hanging="450"/>
        <w:rPr>
          <w:rFonts w:cstheme="minorHAnsi"/>
          <w:sz w:val="28"/>
          <w:szCs w:val="28"/>
        </w:rPr>
      </w:pPr>
      <w:r w:rsidRPr="006E0315">
        <w:rPr>
          <w:rFonts w:cstheme="minorHAnsi"/>
          <w:sz w:val="28"/>
          <w:szCs w:val="28"/>
        </w:rPr>
        <w:t>Consensus Estimates</w:t>
      </w:r>
    </w:p>
    <w:p w:rsidR="006E0315" w:rsidRPr="006E0315" w:rsidRDefault="006E0315" w:rsidP="006E0315">
      <w:pPr>
        <w:autoSpaceDE w:val="0"/>
        <w:autoSpaceDN w:val="0"/>
        <w:adjustRightInd w:val="0"/>
        <w:spacing w:after="0" w:line="240" w:lineRule="auto"/>
        <w:rPr>
          <w:rFonts w:cstheme="minorHAnsi"/>
          <w:sz w:val="28"/>
          <w:szCs w:val="28"/>
        </w:rPr>
      </w:pP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What to do if Revenue and Expenditures Don’t Match:</w:t>
      </w:r>
    </w:p>
    <w:p w:rsidR="006E0315" w:rsidRPr="006E0315" w:rsidRDefault="006E0315" w:rsidP="006E0315">
      <w:pPr>
        <w:numPr>
          <w:ilvl w:val="0"/>
          <w:numId w:val="5"/>
        </w:numPr>
        <w:autoSpaceDE w:val="0"/>
        <w:autoSpaceDN w:val="0"/>
        <w:adjustRightInd w:val="0"/>
        <w:spacing w:after="0" w:line="240" w:lineRule="auto"/>
        <w:ind w:left="1170" w:hanging="450"/>
        <w:rPr>
          <w:rFonts w:cstheme="minorHAnsi"/>
          <w:sz w:val="28"/>
          <w:szCs w:val="28"/>
        </w:rPr>
      </w:pPr>
      <w:r w:rsidRPr="006E0315">
        <w:rPr>
          <w:rFonts w:cstheme="minorHAnsi"/>
          <w:sz w:val="28"/>
          <w:szCs w:val="28"/>
        </w:rPr>
        <w:t>Increase Revenue:</w:t>
      </w:r>
    </w:p>
    <w:p w:rsidR="006E0315" w:rsidRPr="006E0315" w:rsidRDefault="006E0315" w:rsidP="006E0315">
      <w:pPr>
        <w:numPr>
          <w:ilvl w:val="0"/>
          <w:numId w:val="6"/>
        </w:numPr>
        <w:autoSpaceDE w:val="0"/>
        <w:autoSpaceDN w:val="0"/>
        <w:adjustRightInd w:val="0"/>
        <w:spacing w:after="0" w:line="240" w:lineRule="auto"/>
        <w:ind w:left="1800" w:hanging="360"/>
        <w:rPr>
          <w:rFonts w:cstheme="minorHAnsi"/>
          <w:sz w:val="28"/>
          <w:szCs w:val="28"/>
        </w:rPr>
      </w:pPr>
      <w:r w:rsidRPr="006E0315">
        <w:rPr>
          <w:rFonts w:cstheme="minorHAnsi"/>
          <w:sz w:val="28"/>
          <w:szCs w:val="28"/>
        </w:rPr>
        <w:t>Raise tax rate</w:t>
      </w:r>
    </w:p>
    <w:p w:rsidR="006E0315" w:rsidRPr="006E0315" w:rsidRDefault="006E0315" w:rsidP="006E0315">
      <w:pPr>
        <w:numPr>
          <w:ilvl w:val="0"/>
          <w:numId w:val="6"/>
        </w:numPr>
        <w:autoSpaceDE w:val="0"/>
        <w:autoSpaceDN w:val="0"/>
        <w:adjustRightInd w:val="0"/>
        <w:spacing w:after="0" w:line="240" w:lineRule="auto"/>
        <w:ind w:left="1800" w:hanging="360"/>
        <w:rPr>
          <w:rFonts w:cstheme="minorHAnsi"/>
          <w:sz w:val="28"/>
          <w:szCs w:val="28"/>
        </w:rPr>
      </w:pPr>
      <w:r w:rsidRPr="006E0315">
        <w:rPr>
          <w:rFonts w:cstheme="minorHAnsi"/>
          <w:sz w:val="28"/>
          <w:szCs w:val="28"/>
        </w:rPr>
        <w:t>Expand tax base</w:t>
      </w:r>
    </w:p>
    <w:p w:rsidR="006E0315" w:rsidRDefault="006E0315" w:rsidP="006E0315">
      <w:pPr>
        <w:autoSpaceDE w:val="0"/>
        <w:autoSpaceDN w:val="0"/>
        <w:adjustRightInd w:val="0"/>
        <w:spacing w:after="0" w:line="240" w:lineRule="auto"/>
        <w:ind w:left="1170"/>
        <w:rPr>
          <w:rFonts w:cstheme="minorHAnsi"/>
          <w:sz w:val="28"/>
          <w:szCs w:val="28"/>
        </w:rPr>
      </w:pPr>
    </w:p>
    <w:p w:rsidR="006E0315" w:rsidRPr="006E0315" w:rsidRDefault="006E0315" w:rsidP="006E0315">
      <w:pPr>
        <w:numPr>
          <w:ilvl w:val="0"/>
          <w:numId w:val="5"/>
        </w:numPr>
        <w:autoSpaceDE w:val="0"/>
        <w:autoSpaceDN w:val="0"/>
        <w:adjustRightInd w:val="0"/>
        <w:spacing w:after="0" w:line="240" w:lineRule="auto"/>
        <w:ind w:left="1170" w:hanging="450"/>
        <w:rPr>
          <w:rFonts w:cstheme="minorHAnsi"/>
          <w:sz w:val="28"/>
          <w:szCs w:val="28"/>
        </w:rPr>
      </w:pPr>
      <w:r w:rsidRPr="006E0315">
        <w:rPr>
          <w:rFonts w:cstheme="minorHAnsi"/>
          <w:sz w:val="28"/>
          <w:szCs w:val="28"/>
        </w:rPr>
        <w:t>Decrease Expenditures</w:t>
      </w:r>
    </w:p>
    <w:p w:rsidR="006E0315" w:rsidRPr="006E0315" w:rsidRDefault="006E0315" w:rsidP="006E0315">
      <w:pPr>
        <w:numPr>
          <w:ilvl w:val="0"/>
          <w:numId w:val="6"/>
        </w:numPr>
        <w:autoSpaceDE w:val="0"/>
        <w:autoSpaceDN w:val="0"/>
        <w:adjustRightInd w:val="0"/>
        <w:spacing w:after="0" w:line="240" w:lineRule="auto"/>
        <w:ind w:left="1800" w:hanging="360"/>
        <w:rPr>
          <w:rFonts w:cstheme="minorHAnsi"/>
          <w:sz w:val="28"/>
          <w:szCs w:val="28"/>
        </w:rPr>
      </w:pPr>
      <w:r w:rsidRPr="006E0315">
        <w:rPr>
          <w:rFonts w:cstheme="minorHAnsi"/>
          <w:sz w:val="28"/>
          <w:szCs w:val="28"/>
        </w:rPr>
        <w:t>Cut programs</w:t>
      </w:r>
    </w:p>
    <w:p w:rsidR="006E0315" w:rsidRPr="006E0315" w:rsidRDefault="006E0315" w:rsidP="006E0315">
      <w:pPr>
        <w:numPr>
          <w:ilvl w:val="0"/>
          <w:numId w:val="6"/>
        </w:numPr>
        <w:autoSpaceDE w:val="0"/>
        <w:autoSpaceDN w:val="0"/>
        <w:adjustRightInd w:val="0"/>
        <w:spacing w:after="0" w:line="240" w:lineRule="auto"/>
        <w:ind w:left="1800" w:hanging="360"/>
        <w:rPr>
          <w:rFonts w:cstheme="minorHAnsi"/>
          <w:sz w:val="28"/>
          <w:szCs w:val="28"/>
        </w:rPr>
      </w:pPr>
      <w:r w:rsidRPr="006E0315">
        <w:rPr>
          <w:rFonts w:cstheme="minorHAnsi"/>
          <w:sz w:val="28"/>
          <w:szCs w:val="28"/>
        </w:rPr>
        <w:t>Increase efficiency</w:t>
      </w:r>
    </w:p>
    <w:p w:rsidR="006E0315" w:rsidRPr="006E0315" w:rsidRDefault="006E0315" w:rsidP="006E0315">
      <w:pPr>
        <w:numPr>
          <w:ilvl w:val="0"/>
          <w:numId w:val="5"/>
        </w:numPr>
        <w:autoSpaceDE w:val="0"/>
        <w:autoSpaceDN w:val="0"/>
        <w:adjustRightInd w:val="0"/>
        <w:spacing w:after="0" w:line="240" w:lineRule="auto"/>
        <w:ind w:left="1170" w:hanging="450"/>
        <w:rPr>
          <w:rFonts w:cstheme="minorHAnsi"/>
          <w:sz w:val="28"/>
          <w:szCs w:val="28"/>
        </w:rPr>
      </w:pPr>
      <w:r w:rsidRPr="006E0315">
        <w:rPr>
          <w:rFonts w:cstheme="minorHAnsi"/>
          <w:sz w:val="28"/>
          <w:szCs w:val="28"/>
        </w:rPr>
        <w:t>Bond or borrow</w:t>
      </w:r>
    </w:p>
    <w:p w:rsidR="006E0315" w:rsidRPr="006E0315" w:rsidRDefault="006E0315" w:rsidP="006E0315">
      <w:pPr>
        <w:autoSpaceDE w:val="0"/>
        <w:autoSpaceDN w:val="0"/>
        <w:adjustRightInd w:val="0"/>
        <w:spacing w:after="0" w:line="240" w:lineRule="auto"/>
        <w:ind w:left="540" w:hanging="540"/>
        <w:rPr>
          <w:rFonts w:cstheme="minorHAnsi"/>
          <w:sz w:val="28"/>
          <w:szCs w:val="28"/>
        </w:rPr>
      </w:pPr>
    </w:p>
    <w:p w:rsidR="006E0315" w:rsidRPr="006E0315" w:rsidRDefault="006E0315" w:rsidP="006E0315">
      <w:pPr>
        <w:autoSpaceDE w:val="0"/>
        <w:autoSpaceDN w:val="0"/>
        <w:adjustRightInd w:val="0"/>
        <w:spacing w:after="0" w:line="240" w:lineRule="auto"/>
        <w:ind w:left="540" w:hanging="540"/>
        <w:rPr>
          <w:rFonts w:cstheme="minorHAnsi"/>
          <w:sz w:val="28"/>
          <w:szCs w:val="28"/>
        </w:rPr>
      </w:pPr>
    </w:p>
    <w:p w:rsidR="006E0315" w:rsidRPr="006E0315" w:rsidRDefault="006E0315" w:rsidP="006E0315">
      <w:pPr>
        <w:autoSpaceDE w:val="0"/>
        <w:autoSpaceDN w:val="0"/>
        <w:adjustRightInd w:val="0"/>
        <w:spacing w:after="0" w:line="240" w:lineRule="auto"/>
        <w:rPr>
          <w:rFonts w:cstheme="minorHAnsi"/>
          <w:sz w:val="28"/>
          <w:szCs w:val="28"/>
        </w:rPr>
      </w:pPr>
      <w:r w:rsidRPr="006E0315">
        <w:rPr>
          <w:rFonts w:cstheme="minorHAnsi"/>
          <w:sz w:val="28"/>
          <w:szCs w:val="28"/>
        </w:rPr>
        <w:t>Unbalanced Budget</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Deficit: More spending than available revenues</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Debt:  Long term result of borrowing to cover deficits</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Bonded Indebtedness:  Intentional program to incur debt over long periods of time</w:t>
      </w:r>
    </w:p>
    <w:p w:rsidR="006E0315" w:rsidRPr="006E0315" w:rsidRDefault="006E0315" w:rsidP="006E0315">
      <w:pPr>
        <w:autoSpaceDE w:val="0"/>
        <w:autoSpaceDN w:val="0"/>
        <w:adjustRightInd w:val="0"/>
        <w:spacing w:after="0" w:line="240" w:lineRule="auto"/>
        <w:ind w:left="540" w:hanging="540"/>
        <w:rPr>
          <w:rFonts w:cstheme="minorHAnsi"/>
          <w:sz w:val="28"/>
          <w:szCs w:val="28"/>
        </w:rPr>
      </w:pP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Surplus:  More revenue than spending</w:t>
      </w:r>
    </w:p>
    <w:p w:rsidR="006E0315" w:rsidRPr="006E0315" w:rsidRDefault="006E0315" w:rsidP="006E0315">
      <w:pPr>
        <w:autoSpaceDE w:val="0"/>
        <w:autoSpaceDN w:val="0"/>
        <w:adjustRightInd w:val="0"/>
        <w:spacing w:after="0" w:line="240" w:lineRule="auto"/>
        <w:ind w:left="1170"/>
        <w:rPr>
          <w:rFonts w:cstheme="minorHAnsi"/>
          <w:sz w:val="28"/>
          <w:szCs w:val="28"/>
        </w:rPr>
      </w:pPr>
      <w:r w:rsidRPr="006E0315">
        <w:rPr>
          <w:rFonts w:cstheme="minorHAnsi"/>
          <w:sz w:val="28"/>
          <w:szCs w:val="28"/>
        </w:rPr>
        <w:t>Rainy Day Fund</w:t>
      </w:r>
    </w:p>
    <w:p w:rsidR="006E0315" w:rsidRPr="006E0315" w:rsidRDefault="006E0315" w:rsidP="006E0315">
      <w:pPr>
        <w:autoSpaceDE w:val="0"/>
        <w:autoSpaceDN w:val="0"/>
        <w:adjustRightInd w:val="0"/>
        <w:spacing w:after="0" w:line="240" w:lineRule="auto"/>
        <w:ind w:left="1170"/>
        <w:rPr>
          <w:rFonts w:cstheme="minorHAnsi"/>
          <w:sz w:val="28"/>
          <w:szCs w:val="28"/>
        </w:rPr>
      </w:pPr>
      <w:r w:rsidRPr="006E0315">
        <w:rPr>
          <w:rFonts w:cstheme="minorHAnsi"/>
          <w:sz w:val="28"/>
          <w:szCs w:val="28"/>
        </w:rPr>
        <w:t>Genesis 41</w:t>
      </w:r>
      <w:r>
        <w:rPr>
          <w:rFonts w:cstheme="minorHAnsi"/>
          <w:sz w:val="28"/>
          <w:szCs w:val="28"/>
        </w:rPr>
        <w:t>:</w:t>
      </w:r>
      <w:r w:rsidRPr="006E0315">
        <w:rPr>
          <w:rFonts w:cstheme="minorHAnsi"/>
          <w:sz w:val="28"/>
          <w:szCs w:val="28"/>
        </w:rPr>
        <w:t xml:space="preserve">28“It is just as I said to Pharaoh: God has shown Pharaoh what he is about to do. 29Seven years of great abundance are coming throughout the land of Egypt, 30but seven years of famine will follow them. Then all the abundance in Egypt will be forgotten, and the famine will ravage the land. 31The abundance in the land will not be remembered, because the famine that follows it will be so severe. 32The reason the dream was given to Pharaoh in two forms is that the matter has been firmly decided by God, and God will do it soon.  33“And now let Pharaoh look for a discerning and wise man and put him in charge of the land of Egypt. 34Let Pharaoh </w:t>
      </w:r>
      <w:proofErr w:type="gramStart"/>
      <w:r w:rsidRPr="006E0315">
        <w:rPr>
          <w:rFonts w:cstheme="minorHAnsi"/>
          <w:sz w:val="28"/>
          <w:szCs w:val="28"/>
        </w:rPr>
        <w:t>appoint</w:t>
      </w:r>
      <w:proofErr w:type="gramEnd"/>
      <w:r w:rsidRPr="006E0315">
        <w:rPr>
          <w:rFonts w:cstheme="minorHAnsi"/>
          <w:sz w:val="28"/>
          <w:szCs w:val="28"/>
        </w:rPr>
        <w:t xml:space="preserve"> commissioners over the land to take a fifth of the harvest of Egypt during the seven years of abundance. 35They should collect all the food of these good years that are coming and store up the grain under the authority of Pharaoh, to be kept in the cities for food. 36This food should be held in reserve for the country, to be used during the seven years of famine that will come upon Egypt, so that the country may not be ruined by the famine.”</w:t>
      </w:r>
    </w:p>
    <w:p w:rsidR="006E0315" w:rsidRPr="006E0315" w:rsidRDefault="006E0315" w:rsidP="006E0315">
      <w:pPr>
        <w:autoSpaceDE w:val="0"/>
        <w:autoSpaceDN w:val="0"/>
        <w:adjustRightInd w:val="0"/>
        <w:spacing w:after="0" w:line="240" w:lineRule="auto"/>
        <w:ind w:left="540" w:hanging="540"/>
        <w:rPr>
          <w:rFonts w:cstheme="minorHAnsi"/>
          <w:sz w:val="28"/>
          <w:szCs w:val="28"/>
        </w:rPr>
      </w:pPr>
    </w:p>
    <w:p w:rsidR="006E0315" w:rsidRPr="006E0315" w:rsidRDefault="006E0315" w:rsidP="006E0315">
      <w:pPr>
        <w:autoSpaceDE w:val="0"/>
        <w:autoSpaceDN w:val="0"/>
        <w:adjustRightInd w:val="0"/>
        <w:spacing w:after="0" w:line="240" w:lineRule="auto"/>
        <w:rPr>
          <w:rFonts w:cstheme="minorHAnsi"/>
          <w:sz w:val="28"/>
          <w:szCs w:val="28"/>
        </w:rPr>
      </w:pPr>
      <w:r w:rsidRPr="006E0315">
        <w:rPr>
          <w:rFonts w:cstheme="minorHAnsi"/>
          <w:sz w:val="28"/>
          <w:szCs w:val="28"/>
        </w:rPr>
        <w:t>The Fiscal Rollercoaster</w:t>
      </w:r>
    </w:p>
    <w:p w:rsidR="006E0315" w:rsidRPr="006E0315" w:rsidRDefault="006E0315" w:rsidP="006E0315">
      <w:pPr>
        <w:autoSpaceDE w:val="0"/>
        <w:autoSpaceDN w:val="0"/>
        <w:adjustRightInd w:val="0"/>
        <w:spacing w:after="0" w:line="240" w:lineRule="auto"/>
        <w:ind w:left="540" w:hanging="540"/>
        <w:rPr>
          <w:rFonts w:cstheme="minorHAnsi"/>
          <w:sz w:val="28"/>
          <w:szCs w:val="28"/>
        </w:rPr>
      </w:pPr>
    </w:p>
    <w:p w:rsidR="006E0315" w:rsidRPr="006E0315" w:rsidRDefault="006E0315" w:rsidP="006E0315">
      <w:pPr>
        <w:autoSpaceDE w:val="0"/>
        <w:autoSpaceDN w:val="0"/>
        <w:adjustRightInd w:val="0"/>
        <w:spacing w:after="0" w:line="240" w:lineRule="auto"/>
        <w:rPr>
          <w:rFonts w:cstheme="minorHAnsi"/>
          <w:sz w:val="28"/>
          <w:szCs w:val="28"/>
        </w:rPr>
      </w:pPr>
      <w:r>
        <w:rPr>
          <w:rFonts w:cstheme="minorHAnsi"/>
          <w:sz w:val="28"/>
          <w:szCs w:val="28"/>
        </w:rPr>
        <w:lastRenderedPageBreak/>
        <w:t>Point, Counter-Point</w:t>
      </w:r>
    </w:p>
    <w:p w:rsidR="006E0315" w:rsidRPr="006E0315" w:rsidRDefault="006E0315" w:rsidP="006E0315">
      <w:pPr>
        <w:autoSpaceDE w:val="0"/>
        <w:autoSpaceDN w:val="0"/>
        <w:adjustRightInd w:val="0"/>
        <w:spacing w:after="0" w:line="240" w:lineRule="auto"/>
        <w:ind w:left="540" w:hanging="540"/>
        <w:rPr>
          <w:rFonts w:cstheme="minorHAnsi"/>
          <w:sz w:val="28"/>
          <w:szCs w:val="28"/>
        </w:rPr>
      </w:pP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FY 2006</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FY 2008</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FY 2009</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FY 2010</w:t>
      </w:r>
    </w:p>
    <w:p w:rsidR="006E0315" w:rsidRPr="006E0315" w:rsidRDefault="006E0315" w:rsidP="006E0315">
      <w:pPr>
        <w:autoSpaceDE w:val="0"/>
        <w:autoSpaceDN w:val="0"/>
        <w:adjustRightInd w:val="0"/>
        <w:spacing w:after="0" w:line="240" w:lineRule="auto"/>
        <w:ind w:left="540" w:hanging="540"/>
        <w:rPr>
          <w:rFonts w:cstheme="minorHAnsi"/>
          <w:sz w:val="28"/>
          <w:szCs w:val="28"/>
        </w:rPr>
      </w:pPr>
    </w:p>
    <w:p w:rsidR="006E0315" w:rsidRPr="006E0315" w:rsidRDefault="006E0315" w:rsidP="006E0315">
      <w:pPr>
        <w:autoSpaceDE w:val="0"/>
        <w:autoSpaceDN w:val="0"/>
        <w:adjustRightInd w:val="0"/>
        <w:spacing w:after="0" w:line="240" w:lineRule="auto"/>
        <w:rPr>
          <w:rFonts w:cstheme="minorHAnsi"/>
          <w:sz w:val="28"/>
          <w:szCs w:val="28"/>
        </w:rPr>
      </w:pPr>
      <w:r w:rsidRPr="006E0315">
        <w:rPr>
          <w:rFonts w:cstheme="minorHAnsi"/>
          <w:sz w:val="28"/>
          <w:szCs w:val="28"/>
        </w:rPr>
        <w:t>Revenue Stabilization Act</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Allocation to categories A, B or C</w:t>
      </w:r>
    </w:p>
    <w:p w:rsidR="006E0315" w:rsidRPr="006E0315" w:rsidRDefault="006E0315" w:rsidP="006E0315">
      <w:pPr>
        <w:autoSpaceDE w:val="0"/>
        <w:autoSpaceDN w:val="0"/>
        <w:adjustRightInd w:val="0"/>
        <w:spacing w:after="0" w:line="240" w:lineRule="auto"/>
        <w:rPr>
          <w:rFonts w:cstheme="minorHAnsi"/>
          <w:sz w:val="28"/>
          <w:szCs w:val="28"/>
        </w:rPr>
      </w:pPr>
      <w:r w:rsidRPr="006E0315">
        <w:rPr>
          <w:rFonts w:cstheme="minorHAnsi"/>
          <w:sz w:val="28"/>
          <w:szCs w:val="28"/>
        </w:rPr>
        <w:t>Biennial Budget</w:t>
      </w:r>
    </w:p>
    <w:p w:rsidR="006E0315" w:rsidRDefault="006E0315" w:rsidP="006E0315">
      <w:pPr>
        <w:autoSpaceDE w:val="0"/>
        <w:autoSpaceDN w:val="0"/>
        <w:adjustRightInd w:val="0"/>
        <w:spacing w:after="0" w:line="240" w:lineRule="auto"/>
        <w:rPr>
          <w:rFonts w:cstheme="minorHAnsi"/>
          <w:sz w:val="28"/>
          <w:szCs w:val="28"/>
        </w:rPr>
      </w:pPr>
    </w:p>
    <w:p w:rsidR="006E0315" w:rsidRDefault="006E0315" w:rsidP="006E0315">
      <w:pPr>
        <w:autoSpaceDE w:val="0"/>
        <w:autoSpaceDN w:val="0"/>
        <w:adjustRightInd w:val="0"/>
        <w:spacing w:after="0" w:line="240" w:lineRule="auto"/>
        <w:rPr>
          <w:rFonts w:cstheme="minorHAnsi"/>
          <w:sz w:val="28"/>
          <w:szCs w:val="28"/>
        </w:rPr>
      </w:pPr>
    </w:p>
    <w:p w:rsidR="006E0315" w:rsidRPr="006E0315" w:rsidRDefault="006E0315" w:rsidP="006E0315">
      <w:pPr>
        <w:autoSpaceDE w:val="0"/>
        <w:autoSpaceDN w:val="0"/>
        <w:adjustRightInd w:val="0"/>
        <w:spacing w:after="0" w:line="240" w:lineRule="auto"/>
        <w:rPr>
          <w:rFonts w:cstheme="minorHAnsi"/>
          <w:sz w:val="28"/>
          <w:szCs w:val="28"/>
        </w:rPr>
      </w:pPr>
      <w:r>
        <w:rPr>
          <w:rFonts w:cstheme="minorHAnsi"/>
          <w:sz w:val="28"/>
          <w:szCs w:val="28"/>
        </w:rPr>
        <w:t>One o</w:t>
      </w:r>
      <w:r w:rsidRPr="006E0315">
        <w:rPr>
          <w:rFonts w:cstheme="minorHAnsi"/>
          <w:sz w:val="28"/>
          <w:szCs w:val="28"/>
        </w:rPr>
        <w:t>f Four</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Arkansas was one of only four states</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To end Fiscal Year 2010 “right side up”</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(Also Alaska, Montana, and South Dakota)</w:t>
      </w:r>
    </w:p>
    <w:p w:rsidR="006E0315" w:rsidRDefault="006E0315" w:rsidP="006E0315">
      <w:pPr>
        <w:autoSpaceDE w:val="0"/>
        <w:autoSpaceDN w:val="0"/>
        <w:adjustRightInd w:val="0"/>
        <w:spacing w:after="0" w:line="240" w:lineRule="auto"/>
        <w:rPr>
          <w:rFonts w:cstheme="minorHAnsi"/>
          <w:sz w:val="28"/>
          <w:szCs w:val="28"/>
        </w:rPr>
      </w:pPr>
    </w:p>
    <w:p w:rsidR="006E0315" w:rsidRPr="006E0315" w:rsidRDefault="006E0315" w:rsidP="006E0315">
      <w:pPr>
        <w:autoSpaceDE w:val="0"/>
        <w:autoSpaceDN w:val="0"/>
        <w:adjustRightInd w:val="0"/>
        <w:spacing w:after="0" w:line="240" w:lineRule="auto"/>
        <w:rPr>
          <w:rFonts w:cstheme="minorHAnsi"/>
          <w:sz w:val="28"/>
          <w:szCs w:val="28"/>
        </w:rPr>
      </w:pPr>
      <w:r w:rsidRPr="006E0315">
        <w:rPr>
          <w:rFonts w:cstheme="minorHAnsi"/>
          <w:sz w:val="28"/>
          <w:szCs w:val="28"/>
        </w:rPr>
        <w:t xml:space="preserve">The Budget Process/Budget Cycle </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Agency Request</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Governor's Recommended Budget - Executive Budget - Governor's Package</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Legislative Appropriation</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Review for Governor’s Veto</w:t>
      </w:r>
    </w:p>
    <w:p w:rsidR="006E0315" w:rsidRPr="006E0315" w:rsidRDefault="006E0315" w:rsidP="006E0315">
      <w:pPr>
        <w:autoSpaceDE w:val="0"/>
        <w:autoSpaceDN w:val="0"/>
        <w:adjustRightInd w:val="0"/>
        <w:spacing w:after="0" w:line="240" w:lineRule="auto"/>
        <w:ind w:left="1170"/>
        <w:rPr>
          <w:rFonts w:cstheme="minorHAnsi"/>
          <w:sz w:val="28"/>
          <w:szCs w:val="28"/>
        </w:rPr>
      </w:pPr>
      <w:r w:rsidRPr="006E0315">
        <w:rPr>
          <w:rFonts w:cstheme="minorHAnsi"/>
          <w:sz w:val="28"/>
          <w:szCs w:val="28"/>
        </w:rPr>
        <w:t xml:space="preserve">Line Item </w:t>
      </w:r>
      <w:proofErr w:type="gramStart"/>
      <w:r w:rsidRPr="006E0315">
        <w:rPr>
          <w:rFonts w:cstheme="minorHAnsi"/>
          <w:sz w:val="28"/>
          <w:szCs w:val="28"/>
        </w:rPr>
        <w:t>Veto  (</w:t>
      </w:r>
      <w:proofErr w:type="gramEnd"/>
      <w:r w:rsidRPr="006E0315">
        <w:rPr>
          <w:rFonts w:cstheme="minorHAnsi"/>
          <w:sz w:val="28"/>
          <w:szCs w:val="28"/>
        </w:rPr>
        <w:t>43 governors)</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Release plan</w:t>
      </w:r>
    </w:p>
    <w:p w:rsidR="006E0315" w:rsidRPr="006E0315" w:rsidRDefault="006E0315" w:rsidP="006E0315">
      <w:pPr>
        <w:autoSpaceDE w:val="0"/>
        <w:autoSpaceDN w:val="0"/>
        <w:adjustRightInd w:val="0"/>
        <w:spacing w:after="0" w:line="240" w:lineRule="auto"/>
        <w:ind w:left="540" w:hanging="540"/>
        <w:rPr>
          <w:rFonts w:cstheme="minorHAnsi"/>
          <w:sz w:val="28"/>
          <w:szCs w:val="28"/>
        </w:rPr>
      </w:pP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Some strings attached, some restrictions may apply…</w:t>
      </w:r>
    </w:p>
    <w:p w:rsidR="006E0315" w:rsidRPr="006E0315" w:rsidRDefault="006E0315" w:rsidP="006E0315">
      <w:pPr>
        <w:autoSpaceDE w:val="0"/>
        <w:autoSpaceDN w:val="0"/>
        <w:adjustRightInd w:val="0"/>
        <w:spacing w:after="0" w:line="240" w:lineRule="auto"/>
        <w:ind w:left="540"/>
        <w:rPr>
          <w:rFonts w:cstheme="minorHAnsi"/>
          <w:sz w:val="28"/>
          <w:szCs w:val="28"/>
        </w:rPr>
      </w:pPr>
      <w:proofErr w:type="gramStart"/>
      <w:r w:rsidRPr="006E0315">
        <w:rPr>
          <w:rFonts w:cstheme="minorHAnsi"/>
          <w:sz w:val="28"/>
          <w:szCs w:val="28"/>
        </w:rPr>
        <w:t>contingent</w:t>
      </w:r>
      <w:proofErr w:type="gramEnd"/>
      <w:r w:rsidRPr="006E0315">
        <w:rPr>
          <w:rFonts w:cstheme="minorHAnsi"/>
          <w:sz w:val="28"/>
          <w:szCs w:val="28"/>
        </w:rPr>
        <w:t xml:space="preserve"> appropriations</w:t>
      </w:r>
    </w:p>
    <w:p w:rsidR="006E0315" w:rsidRPr="006E0315" w:rsidRDefault="006E0315" w:rsidP="006E0315">
      <w:pPr>
        <w:autoSpaceDE w:val="0"/>
        <w:autoSpaceDN w:val="0"/>
        <w:adjustRightInd w:val="0"/>
        <w:spacing w:after="0" w:line="240" w:lineRule="auto"/>
        <w:ind w:left="540"/>
        <w:rPr>
          <w:rFonts w:cstheme="minorHAnsi"/>
          <w:sz w:val="28"/>
          <w:szCs w:val="28"/>
        </w:rPr>
      </w:pPr>
      <w:proofErr w:type="gramStart"/>
      <w:r w:rsidRPr="006E0315">
        <w:rPr>
          <w:rFonts w:cstheme="minorHAnsi"/>
          <w:sz w:val="28"/>
          <w:szCs w:val="28"/>
        </w:rPr>
        <w:t>proviso</w:t>
      </w:r>
      <w:proofErr w:type="gramEnd"/>
      <w:r w:rsidRPr="006E0315">
        <w:rPr>
          <w:rFonts w:cstheme="minorHAnsi"/>
          <w:sz w:val="28"/>
          <w:szCs w:val="28"/>
        </w:rPr>
        <w:t xml:space="preserve"> language</w:t>
      </w:r>
    </w:p>
    <w:p w:rsidR="006E0315" w:rsidRPr="006E0315" w:rsidRDefault="006E0315" w:rsidP="006E0315">
      <w:pPr>
        <w:autoSpaceDE w:val="0"/>
        <w:autoSpaceDN w:val="0"/>
        <w:adjustRightInd w:val="0"/>
        <w:spacing w:after="0" w:line="240" w:lineRule="auto"/>
        <w:ind w:left="540" w:hanging="540"/>
        <w:rPr>
          <w:rFonts w:cstheme="minorHAnsi"/>
          <w:sz w:val="28"/>
          <w:szCs w:val="28"/>
        </w:rPr>
      </w:pPr>
    </w:p>
    <w:p w:rsidR="006E0315" w:rsidRPr="006E0315" w:rsidRDefault="006E0315" w:rsidP="006E0315">
      <w:pPr>
        <w:autoSpaceDE w:val="0"/>
        <w:autoSpaceDN w:val="0"/>
        <w:adjustRightInd w:val="0"/>
        <w:spacing w:after="0" w:line="240" w:lineRule="auto"/>
        <w:rPr>
          <w:rFonts w:cstheme="minorHAnsi"/>
          <w:sz w:val="28"/>
          <w:szCs w:val="28"/>
        </w:rPr>
      </w:pPr>
      <w:r w:rsidRPr="006E0315">
        <w:rPr>
          <w:rFonts w:cstheme="minorHAnsi"/>
          <w:sz w:val="28"/>
          <w:szCs w:val="28"/>
        </w:rPr>
        <w:t>Budget Terminology</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Operating expenditures</w:t>
      </w:r>
    </w:p>
    <w:p w:rsidR="006E0315" w:rsidRPr="006E0315" w:rsidRDefault="006E0315" w:rsidP="006E0315">
      <w:pPr>
        <w:autoSpaceDE w:val="0"/>
        <w:autoSpaceDN w:val="0"/>
        <w:adjustRightInd w:val="0"/>
        <w:spacing w:after="0" w:line="240" w:lineRule="auto"/>
        <w:ind w:left="1170"/>
        <w:rPr>
          <w:rFonts w:cstheme="minorHAnsi"/>
          <w:sz w:val="28"/>
          <w:szCs w:val="28"/>
        </w:rPr>
      </w:pPr>
      <w:r w:rsidRPr="006E0315">
        <w:rPr>
          <w:rFonts w:cstheme="minorHAnsi"/>
          <w:sz w:val="28"/>
          <w:szCs w:val="28"/>
        </w:rPr>
        <w:t>Salaries and Benefits</w:t>
      </w:r>
    </w:p>
    <w:p w:rsidR="006E0315" w:rsidRPr="006E0315" w:rsidRDefault="006E0315" w:rsidP="006E0315">
      <w:pPr>
        <w:autoSpaceDE w:val="0"/>
        <w:autoSpaceDN w:val="0"/>
        <w:adjustRightInd w:val="0"/>
        <w:spacing w:after="0" w:line="240" w:lineRule="auto"/>
        <w:ind w:left="1800"/>
        <w:rPr>
          <w:rFonts w:cstheme="minorHAnsi"/>
          <w:sz w:val="28"/>
          <w:szCs w:val="28"/>
        </w:rPr>
      </w:pPr>
      <w:r w:rsidRPr="006E0315">
        <w:rPr>
          <w:rFonts w:cstheme="minorHAnsi"/>
          <w:sz w:val="28"/>
          <w:szCs w:val="28"/>
        </w:rPr>
        <w:t>Benefits</w:t>
      </w:r>
    </w:p>
    <w:p w:rsidR="006E0315" w:rsidRPr="006E0315" w:rsidRDefault="006E0315" w:rsidP="006E0315">
      <w:pPr>
        <w:autoSpaceDE w:val="0"/>
        <w:autoSpaceDN w:val="0"/>
        <w:adjustRightInd w:val="0"/>
        <w:spacing w:after="0" w:line="240" w:lineRule="auto"/>
        <w:ind w:left="450" w:firstLine="720"/>
        <w:rPr>
          <w:rFonts w:cstheme="minorHAnsi"/>
          <w:sz w:val="28"/>
          <w:szCs w:val="28"/>
        </w:rPr>
      </w:pPr>
      <w:r w:rsidRPr="006E0315">
        <w:rPr>
          <w:rFonts w:cstheme="minorHAnsi"/>
          <w:sz w:val="28"/>
          <w:szCs w:val="28"/>
        </w:rPr>
        <w:t>Part-time Personnel</w:t>
      </w:r>
    </w:p>
    <w:p w:rsidR="006E0315" w:rsidRPr="006E0315" w:rsidRDefault="006E0315" w:rsidP="006E0315">
      <w:pPr>
        <w:autoSpaceDE w:val="0"/>
        <w:autoSpaceDN w:val="0"/>
        <w:adjustRightInd w:val="0"/>
        <w:spacing w:after="0" w:line="240" w:lineRule="auto"/>
        <w:ind w:left="1170"/>
        <w:rPr>
          <w:rFonts w:cstheme="minorHAnsi"/>
          <w:sz w:val="28"/>
          <w:szCs w:val="28"/>
        </w:rPr>
      </w:pPr>
      <w:r w:rsidRPr="006E0315">
        <w:rPr>
          <w:rFonts w:cstheme="minorHAnsi"/>
          <w:sz w:val="28"/>
          <w:szCs w:val="28"/>
        </w:rPr>
        <w:t>Expenses</w:t>
      </w:r>
    </w:p>
    <w:p w:rsidR="006E0315" w:rsidRPr="006E0315" w:rsidRDefault="006E0315" w:rsidP="006E0315">
      <w:pPr>
        <w:autoSpaceDE w:val="0"/>
        <w:autoSpaceDN w:val="0"/>
        <w:adjustRightInd w:val="0"/>
        <w:spacing w:after="0" w:line="240" w:lineRule="auto"/>
        <w:ind w:left="540" w:hanging="540"/>
        <w:rPr>
          <w:rFonts w:cstheme="minorHAnsi"/>
          <w:sz w:val="28"/>
          <w:szCs w:val="28"/>
        </w:rPr>
      </w:pP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 xml:space="preserve">Non-recurring expenditures </w:t>
      </w:r>
    </w:p>
    <w:p w:rsidR="006E0315" w:rsidRPr="006E0315" w:rsidRDefault="006E0315" w:rsidP="006E0315">
      <w:pPr>
        <w:autoSpaceDE w:val="0"/>
        <w:autoSpaceDN w:val="0"/>
        <w:adjustRightInd w:val="0"/>
        <w:spacing w:after="0" w:line="240" w:lineRule="auto"/>
        <w:ind w:left="1170"/>
        <w:rPr>
          <w:rFonts w:cstheme="minorHAnsi"/>
          <w:sz w:val="28"/>
          <w:szCs w:val="28"/>
        </w:rPr>
      </w:pPr>
      <w:r w:rsidRPr="006E0315">
        <w:rPr>
          <w:rFonts w:cstheme="minorHAnsi"/>
          <w:sz w:val="28"/>
          <w:szCs w:val="28"/>
        </w:rPr>
        <w:t xml:space="preserve">Capital Outlay </w:t>
      </w:r>
    </w:p>
    <w:p w:rsidR="006E0315" w:rsidRPr="006E0315" w:rsidRDefault="006E0315" w:rsidP="006E0315">
      <w:pPr>
        <w:autoSpaceDE w:val="0"/>
        <w:autoSpaceDN w:val="0"/>
        <w:adjustRightInd w:val="0"/>
        <w:spacing w:after="0" w:line="240" w:lineRule="auto"/>
        <w:ind w:left="1170"/>
        <w:rPr>
          <w:rFonts w:cstheme="minorHAnsi"/>
          <w:sz w:val="28"/>
          <w:szCs w:val="28"/>
        </w:rPr>
      </w:pPr>
      <w:r w:rsidRPr="006E0315">
        <w:rPr>
          <w:rFonts w:cstheme="minorHAnsi"/>
          <w:sz w:val="28"/>
          <w:szCs w:val="28"/>
        </w:rPr>
        <w:t>Infrastructure</w:t>
      </w:r>
    </w:p>
    <w:p w:rsidR="006E0315" w:rsidRPr="006E0315" w:rsidRDefault="006E0315" w:rsidP="006E0315">
      <w:pPr>
        <w:autoSpaceDE w:val="0"/>
        <w:autoSpaceDN w:val="0"/>
        <w:adjustRightInd w:val="0"/>
        <w:spacing w:after="0" w:line="240" w:lineRule="auto"/>
        <w:ind w:left="1800"/>
        <w:rPr>
          <w:rFonts w:cstheme="minorHAnsi"/>
          <w:sz w:val="28"/>
          <w:szCs w:val="28"/>
        </w:rPr>
      </w:pPr>
      <w:r w:rsidRPr="006E0315">
        <w:rPr>
          <w:rFonts w:cstheme="minorHAnsi"/>
          <w:sz w:val="28"/>
          <w:szCs w:val="28"/>
        </w:rPr>
        <w:t>Capital Improvement Funds, Facilities Funds, Infrastructure Funds - bonding</w:t>
      </w:r>
    </w:p>
    <w:p w:rsidR="006E0315" w:rsidRDefault="006E0315" w:rsidP="006E0315">
      <w:pPr>
        <w:autoSpaceDE w:val="0"/>
        <w:autoSpaceDN w:val="0"/>
        <w:adjustRightInd w:val="0"/>
        <w:spacing w:after="0" w:line="240" w:lineRule="auto"/>
        <w:ind w:left="540" w:hanging="540"/>
        <w:rPr>
          <w:rFonts w:cstheme="minorHAnsi"/>
          <w:sz w:val="28"/>
          <w:szCs w:val="28"/>
        </w:rPr>
      </w:pPr>
    </w:p>
    <w:p w:rsidR="00323133" w:rsidRPr="006E0315" w:rsidRDefault="00323133" w:rsidP="006E0315">
      <w:pPr>
        <w:autoSpaceDE w:val="0"/>
        <w:autoSpaceDN w:val="0"/>
        <w:adjustRightInd w:val="0"/>
        <w:spacing w:after="0" w:line="240" w:lineRule="auto"/>
        <w:ind w:left="540" w:hanging="540"/>
        <w:rPr>
          <w:rFonts w:cstheme="minorHAnsi"/>
          <w:sz w:val="28"/>
          <w:szCs w:val="28"/>
        </w:rPr>
      </w:pPr>
    </w:p>
    <w:p w:rsidR="006E0315" w:rsidRPr="006E0315" w:rsidRDefault="006E0315" w:rsidP="006E0315">
      <w:pPr>
        <w:autoSpaceDE w:val="0"/>
        <w:autoSpaceDN w:val="0"/>
        <w:adjustRightInd w:val="0"/>
        <w:spacing w:after="0" w:line="240" w:lineRule="auto"/>
        <w:rPr>
          <w:rFonts w:cstheme="minorHAnsi"/>
          <w:sz w:val="28"/>
          <w:szCs w:val="28"/>
        </w:rPr>
      </w:pPr>
      <w:r w:rsidRPr="006E0315">
        <w:rPr>
          <w:rFonts w:cstheme="minorHAnsi"/>
          <w:sz w:val="28"/>
          <w:szCs w:val="28"/>
        </w:rPr>
        <w:lastRenderedPageBreak/>
        <w:t>Types of Revenue/Funding Sources</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General Revenue</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Trust Funds/Special Funds/Dedicated Funds</w:t>
      </w:r>
    </w:p>
    <w:p w:rsidR="006E0315" w:rsidRPr="006E0315" w:rsidRDefault="006E0315" w:rsidP="006E0315">
      <w:pPr>
        <w:autoSpaceDE w:val="0"/>
        <w:autoSpaceDN w:val="0"/>
        <w:adjustRightInd w:val="0"/>
        <w:spacing w:after="0" w:line="240" w:lineRule="auto"/>
        <w:ind w:left="540" w:hanging="540"/>
        <w:rPr>
          <w:rFonts w:cstheme="minorHAnsi"/>
          <w:sz w:val="28"/>
          <w:szCs w:val="28"/>
        </w:rPr>
      </w:pP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Intergovernmental (Federal Funds)</w:t>
      </w:r>
    </w:p>
    <w:p w:rsidR="006E0315" w:rsidRPr="006E0315" w:rsidRDefault="006E0315" w:rsidP="006E0315">
      <w:pPr>
        <w:numPr>
          <w:ilvl w:val="0"/>
          <w:numId w:val="9"/>
        </w:numPr>
        <w:autoSpaceDE w:val="0"/>
        <w:autoSpaceDN w:val="0"/>
        <w:adjustRightInd w:val="0"/>
        <w:spacing w:after="0" w:line="240" w:lineRule="auto"/>
        <w:ind w:left="1170" w:hanging="450"/>
        <w:rPr>
          <w:rFonts w:cstheme="minorHAnsi"/>
          <w:sz w:val="28"/>
          <w:szCs w:val="28"/>
        </w:rPr>
      </w:pPr>
      <w:r w:rsidRPr="006E0315">
        <w:rPr>
          <w:rFonts w:cstheme="minorHAnsi"/>
          <w:sz w:val="28"/>
          <w:szCs w:val="28"/>
        </w:rPr>
        <w:t xml:space="preserve"> Pass through funds</w:t>
      </w:r>
    </w:p>
    <w:p w:rsidR="006E0315" w:rsidRPr="006E0315" w:rsidRDefault="006E0315" w:rsidP="006E0315">
      <w:pPr>
        <w:autoSpaceDE w:val="0"/>
        <w:autoSpaceDN w:val="0"/>
        <w:adjustRightInd w:val="0"/>
        <w:spacing w:after="0" w:line="240" w:lineRule="auto"/>
        <w:ind w:left="540" w:hanging="540"/>
        <w:rPr>
          <w:rFonts w:cstheme="minorHAnsi"/>
          <w:sz w:val="28"/>
          <w:szCs w:val="28"/>
        </w:rPr>
      </w:pP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 xml:space="preserve">The Growing Trends: </w:t>
      </w:r>
    </w:p>
    <w:p w:rsidR="006E0315" w:rsidRPr="006E0315" w:rsidRDefault="006E0315" w:rsidP="006E0315">
      <w:pPr>
        <w:numPr>
          <w:ilvl w:val="0"/>
          <w:numId w:val="9"/>
        </w:numPr>
        <w:autoSpaceDE w:val="0"/>
        <w:autoSpaceDN w:val="0"/>
        <w:adjustRightInd w:val="0"/>
        <w:spacing w:after="0" w:line="240" w:lineRule="auto"/>
        <w:ind w:left="1170" w:hanging="450"/>
        <w:rPr>
          <w:rFonts w:cstheme="minorHAnsi"/>
          <w:sz w:val="28"/>
          <w:szCs w:val="28"/>
        </w:rPr>
      </w:pPr>
      <w:r w:rsidRPr="006E0315">
        <w:rPr>
          <w:rFonts w:cstheme="minorHAnsi"/>
          <w:sz w:val="28"/>
          <w:szCs w:val="28"/>
        </w:rPr>
        <w:t>Dedicated Funds</w:t>
      </w:r>
    </w:p>
    <w:p w:rsidR="006E0315" w:rsidRPr="006E0315" w:rsidRDefault="006E0315" w:rsidP="006E0315">
      <w:pPr>
        <w:numPr>
          <w:ilvl w:val="0"/>
          <w:numId w:val="9"/>
        </w:numPr>
        <w:autoSpaceDE w:val="0"/>
        <w:autoSpaceDN w:val="0"/>
        <w:adjustRightInd w:val="0"/>
        <w:spacing w:after="0" w:line="240" w:lineRule="auto"/>
        <w:ind w:left="1170" w:hanging="450"/>
        <w:rPr>
          <w:rFonts w:cstheme="minorHAnsi"/>
          <w:sz w:val="28"/>
          <w:szCs w:val="28"/>
        </w:rPr>
      </w:pPr>
      <w:r w:rsidRPr="006E0315">
        <w:rPr>
          <w:rFonts w:cstheme="minorHAnsi"/>
          <w:sz w:val="28"/>
          <w:szCs w:val="28"/>
        </w:rPr>
        <w:t xml:space="preserve">User Fees </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 xml:space="preserve">The Growth Sector:  Intergovernmental </w:t>
      </w:r>
    </w:p>
    <w:p w:rsidR="006E0315" w:rsidRDefault="006E0315" w:rsidP="006E0315">
      <w:pPr>
        <w:autoSpaceDE w:val="0"/>
        <w:autoSpaceDN w:val="0"/>
        <w:adjustRightInd w:val="0"/>
        <w:spacing w:after="0" w:line="240" w:lineRule="auto"/>
        <w:rPr>
          <w:rFonts w:cstheme="minorHAnsi"/>
          <w:sz w:val="28"/>
          <w:szCs w:val="28"/>
        </w:rPr>
      </w:pPr>
    </w:p>
    <w:p w:rsidR="00323133" w:rsidRDefault="006E0315" w:rsidP="00323133">
      <w:pPr>
        <w:pStyle w:val="Title"/>
        <w:spacing w:before="0" w:after="0" w:line="240" w:lineRule="auto"/>
        <w:ind w:left="-120" w:right="110"/>
        <w:rPr>
          <w:rFonts w:ascii="Arial Narrow" w:hAnsi="Arial Narrow"/>
          <w:b w:val="0"/>
          <w:color w:val="000080"/>
          <w:sz w:val="26"/>
        </w:rPr>
      </w:pPr>
      <w:r w:rsidRPr="006E0315">
        <w:rPr>
          <w:rFonts w:cstheme="minorHAnsi"/>
          <w:sz w:val="28"/>
          <w:szCs w:val="28"/>
        </w:rPr>
        <w:t xml:space="preserve">All Revenue </w:t>
      </w:r>
      <w:proofErr w:type="gramStart"/>
      <w:r w:rsidRPr="006E0315">
        <w:rPr>
          <w:rFonts w:cstheme="minorHAnsi"/>
          <w:sz w:val="28"/>
          <w:szCs w:val="28"/>
        </w:rPr>
        <w:t xml:space="preserve">Sources </w:t>
      </w:r>
      <w:r>
        <w:rPr>
          <w:rFonts w:cstheme="minorHAnsi"/>
          <w:sz w:val="28"/>
          <w:szCs w:val="28"/>
        </w:rPr>
        <w:t xml:space="preserve"> (</w:t>
      </w:r>
      <w:proofErr w:type="gramEnd"/>
      <w:r>
        <w:rPr>
          <w:rFonts w:cstheme="minorHAnsi"/>
          <w:sz w:val="28"/>
          <w:szCs w:val="28"/>
        </w:rPr>
        <w:t>Arkansas)</w:t>
      </w:r>
      <w:r w:rsidRPr="006E0315">
        <w:rPr>
          <w:rFonts w:cstheme="minorHAnsi"/>
          <w:sz w:val="28"/>
          <w:szCs w:val="28"/>
        </w:rPr>
        <w:br/>
      </w:r>
      <w:r w:rsidR="00323133">
        <w:rPr>
          <w:rFonts w:ascii="Arial Narrow" w:hAnsi="Arial Narrow"/>
          <w:color w:val="000080"/>
          <w:sz w:val="26"/>
        </w:rPr>
        <w:t>FISCAL YEAR 2011</w:t>
      </w:r>
    </w:p>
    <w:p w:rsidR="00323133" w:rsidRDefault="00323133" w:rsidP="00323133">
      <w:pPr>
        <w:pStyle w:val="Title"/>
        <w:spacing w:before="0" w:after="0" w:line="240" w:lineRule="auto"/>
        <w:ind w:left="-120" w:right="110"/>
        <w:rPr>
          <w:rFonts w:ascii="Arial Narrow" w:hAnsi="Arial Narrow"/>
          <w:color w:val="FF0000"/>
          <w:sz w:val="26"/>
        </w:rPr>
      </w:pPr>
      <w:r>
        <w:rPr>
          <w:rFonts w:ascii="Arial Narrow" w:hAnsi="Arial Narrow"/>
          <w:color w:val="FF0000"/>
          <w:sz w:val="26"/>
        </w:rPr>
        <w:t>REVENUE FROM ALL SOURCES</w:t>
      </w:r>
    </w:p>
    <w:p w:rsidR="00323133" w:rsidRDefault="00323133" w:rsidP="00323133">
      <w:pPr>
        <w:ind w:left="-120" w:right="110"/>
        <w:jc w:val="center"/>
        <w:rPr>
          <w:rFonts w:ascii="Arial Narrow" w:hAnsi="Arial Narrow"/>
          <w:b/>
          <w:color w:val="000080"/>
          <w:sz w:val="26"/>
        </w:rPr>
      </w:pPr>
      <w:r>
        <w:rPr>
          <w:rFonts w:ascii="Arial Narrow" w:hAnsi="Arial Narrow"/>
          <w:color w:val="FF0000"/>
          <w:sz w:val="20"/>
        </w:rPr>
        <w:t>All revenue categories are reported on the modified accrual basis of accounting, except enterprise, which is reported on the full accrual basis.</w:t>
      </w:r>
      <w:r>
        <w:rPr>
          <w:rFonts w:ascii="Arial Narrow" w:hAnsi="Arial Narrow"/>
          <w:b/>
          <w:color w:val="000080"/>
          <w:sz w:val="20"/>
        </w:rPr>
        <w:br/>
      </w:r>
      <w:r>
        <w:rPr>
          <w:rFonts w:ascii="Arial Narrow" w:hAnsi="Arial Narrow"/>
          <w:b/>
          <w:color w:val="000080"/>
          <w:sz w:val="26"/>
        </w:rPr>
        <w:t>$18,942.9 (Millions)</w:t>
      </w:r>
      <w:r>
        <w:rPr>
          <w:noProof/>
        </w:rPr>
        <w:t xml:space="preserve"> </w:t>
      </w:r>
      <w:r>
        <w:rPr>
          <w:noProof/>
        </w:rPr>
        <w:drawing>
          <wp:inline distT="0" distB="0" distL="0" distR="0">
            <wp:extent cx="2867025" cy="1752600"/>
            <wp:effectExtent l="0" t="0" r="9525"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E0315" w:rsidRDefault="006E0315" w:rsidP="006E0315">
      <w:pPr>
        <w:autoSpaceDE w:val="0"/>
        <w:autoSpaceDN w:val="0"/>
        <w:adjustRightInd w:val="0"/>
        <w:spacing w:after="0" w:line="240" w:lineRule="auto"/>
        <w:rPr>
          <w:rFonts w:cstheme="minorHAnsi"/>
          <w:sz w:val="28"/>
          <w:szCs w:val="28"/>
        </w:rPr>
      </w:pPr>
      <w:bookmarkStart w:id="0" w:name="_GoBack"/>
      <w:bookmarkEnd w:id="0"/>
    </w:p>
    <w:p w:rsidR="006E0315" w:rsidRPr="006E0315" w:rsidRDefault="006E0315" w:rsidP="006E0315">
      <w:pPr>
        <w:autoSpaceDE w:val="0"/>
        <w:autoSpaceDN w:val="0"/>
        <w:adjustRightInd w:val="0"/>
        <w:spacing w:after="0" w:line="240" w:lineRule="auto"/>
        <w:rPr>
          <w:rFonts w:cstheme="minorHAnsi"/>
          <w:sz w:val="28"/>
          <w:szCs w:val="28"/>
        </w:rPr>
      </w:pPr>
      <w:r w:rsidRPr="006E0315">
        <w:rPr>
          <w:rFonts w:cstheme="minorHAnsi"/>
          <w:sz w:val="28"/>
          <w:szCs w:val="28"/>
        </w:rPr>
        <w:t>Big Picture Budgeting Approaches</w:t>
      </w:r>
    </w:p>
    <w:p w:rsidR="006E0315" w:rsidRPr="006E0315" w:rsidRDefault="006E0315" w:rsidP="006E0315">
      <w:pPr>
        <w:autoSpaceDE w:val="0"/>
        <w:autoSpaceDN w:val="0"/>
        <w:adjustRightInd w:val="0"/>
        <w:spacing w:after="0" w:line="240" w:lineRule="auto"/>
        <w:ind w:left="540"/>
        <w:rPr>
          <w:rFonts w:cstheme="minorHAnsi"/>
          <w:sz w:val="28"/>
          <w:szCs w:val="28"/>
        </w:rPr>
      </w:pPr>
      <w:proofErr w:type="gramStart"/>
      <w:r w:rsidRPr="006E0315">
        <w:rPr>
          <w:rFonts w:cstheme="minorHAnsi"/>
          <w:sz w:val="28"/>
          <w:szCs w:val="28"/>
        </w:rPr>
        <w:t>incremental</w:t>
      </w:r>
      <w:proofErr w:type="gramEnd"/>
      <w:r w:rsidRPr="006E0315">
        <w:rPr>
          <w:rFonts w:cstheme="minorHAnsi"/>
          <w:sz w:val="28"/>
          <w:szCs w:val="28"/>
        </w:rPr>
        <w:t xml:space="preserve"> budgeting</w:t>
      </w:r>
    </w:p>
    <w:p w:rsidR="006E0315" w:rsidRPr="006E0315" w:rsidRDefault="006E0315" w:rsidP="006E0315">
      <w:pPr>
        <w:autoSpaceDE w:val="0"/>
        <w:autoSpaceDN w:val="0"/>
        <w:adjustRightInd w:val="0"/>
        <w:spacing w:after="0" w:line="240" w:lineRule="auto"/>
        <w:ind w:left="540"/>
        <w:rPr>
          <w:rFonts w:cstheme="minorHAnsi"/>
          <w:sz w:val="28"/>
          <w:szCs w:val="28"/>
        </w:rPr>
      </w:pPr>
      <w:proofErr w:type="gramStart"/>
      <w:r w:rsidRPr="006E0315">
        <w:rPr>
          <w:rFonts w:cstheme="minorHAnsi"/>
          <w:sz w:val="28"/>
          <w:szCs w:val="28"/>
        </w:rPr>
        <w:t>zero</w:t>
      </w:r>
      <w:proofErr w:type="gramEnd"/>
      <w:r w:rsidRPr="006E0315">
        <w:rPr>
          <w:rFonts w:cstheme="minorHAnsi"/>
          <w:sz w:val="28"/>
          <w:szCs w:val="28"/>
        </w:rPr>
        <w:t xml:space="preserve"> based budgeting</w:t>
      </w:r>
    </w:p>
    <w:p w:rsidR="006E0315" w:rsidRPr="006E0315" w:rsidRDefault="006E0315" w:rsidP="006E0315">
      <w:pPr>
        <w:autoSpaceDE w:val="0"/>
        <w:autoSpaceDN w:val="0"/>
        <w:adjustRightInd w:val="0"/>
        <w:spacing w:after="0" w:line="240" w:lineRule="auto"/>
        <w:ind w:left="540"/>
        <w:rPr>
          <w:rFonts w:cstheme="minorHAnsi"/>
          <w:sz w:val="28"/>
          <w:szCs w:val="28"/>
        </w:rPr>
      </w:pPr>
      <w:proofErr w:type="gramStart"/>
      <w:r w:rsidRPr="006E0315">
        <w:rPr>
          <w:rFonts w:cstheme="minorHAnsi"/>
          <w:sz w:val="28"/>
          <w:szCs w:val="28"/>
        </w:rPr>
        <w:t>program</w:t>
      </w:r>
      <w:proofErr w:type="gramEnd"/>
      <w:r w:rsidRPr="006E0315">
        <w:rPr>
          <w:rFonts w:cstheme="minorHAnsi"/>
          <w:sz w:val="28"/>
          <w:szCs w:val="28"/>
        </w:rPr>
        <w:t xml:space="preserve"> planning budgeting system</w:t>
      </w:r>
    </w:p>
    <w:p w:rsidR="006E0315" w:rsidRPr="006E0315" w:rsidRDefault="006E0315" w:rsidP="006E0315">
      <w:pPr>
        <w:autoSpaceDE w:val="0"/>
        <w:autoSpaceDN w:val="0"/>
        <w:adjustRightInd w:val="0"/>
        <w:spacing w:after="0" w:line="240" w:lineRule="auto"/>
        <w:ind w:left="540" w:hanging="540"/>
        <w:rPr>
          <w:rFonts w:cstheme="minorHAnsi"/>
          <w:sz w:val="28"/>
          <w:szCs w:val="28"/>
        </w:rPr>
      </w:pP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Most budgets are a mix:</w:t>
      </w:r>
    </w:p>
    <w:p w:rsidR="006E0315" w:rsidRPr="006E0315" w:rsidRDefault="006E0315" w:rsidP="006E0315">
      <w:pPr>
        <w:autoSpaceDE w:val="0"/>
        <w:autoSpaceDN w:val="0"/>
        <w:adjustRightInd w:val="0"/>
        <w:spacing w:after="0" w:line="240" w:lineRule="auto"/>
        <w:ind w:left="1170"/>
        <w:rPr>
          <w:rFonts w:cstheme="minorHAnsi"/>
          <w:sz w:val="28"/>
          <w:szCs w:val="28"/>
        </w:rPr>
      </w:pPr>
      <w:r w:rsidRPr="006E0315">
        <w:rPr>
          <w:rFonts w:cstheme="minorHAnsi"/>
          <w:sz w:val="28"/>
          <w:szCs w:val="28"/>
        </w:rPr>
        <w:t>Priority lists from ZBB</w:t>
      </w:r>
    </w:p>
    <w:p w:rsidR="006E0315" w:rsidRPr="006E0315" w:rsidRDefault="006E0315" w:rsidP="006E0315">
      <w:pPr>
        <w:autoSpaceDE w:val="0"/>
        <w:autoSpaceDN w:val="0"/>
        <w:adjustRightInd w:val="0"/>
        <w:spacing w:after="0" w:line="240" w:lineRule="auto"/>
        <w:ind w:left="1170"/>
        <w:rPr>
          <w:rFonts w:cstheme="minorHAnsi"/>
          <w:sz w:val="28"/>
          <w:szCs w:val="28"/>
        </w:rPr>
      </w:pPr>
      <w:r w:rsidRPr="006E0315">
        <w:rPr>
          <w:rFonts w:cstheme="minorHAnsi"/>
          <w:sz w:val="28"/>
          <w:szCs w:val="28"/>
        </w:rPr>
        <w:t>Program objectives from PPB</w:t>
      </w:r>
    </w:p>
    <w:p w:rsidR="006E0315" w:rsidRPr="006E0315" w:rsidRDefault="006E0315" w:rsidP="006E0315">
      <w:pPr>
        <w:autoSpaceDE w:val="0"/>
        <w:autoSpaceDN w:val="0"/>
        <w:adjustRightInd w:val="0"/>
        <w:spacing w:after="0" w:line="240" w:lineRule="auto"/>
        <w:ind w:left="1170"/>
        <w:rPr>
          <w:rFonts w:cstheme="minorHAnsi"/>
          <w:sz w:val="28"/>
          <w:szCs w:val="28"/>
        </w:rPr>
      </w:pPr>
      <w:r w:rsidRPr="006E0315">
        <w:rPr>
          <w:rFonts w:cstheme="minorHAnsi"/>
          <w:sz w:val="28"/>
          <w:szCs w:val="28"/>
        </w:rPr>
        <w:t>Base + Adjustments from incrementalism</w:t>
      </w:r>
    </w:p>
    <w:p w:rsidR="006E0315" w:rsidRPr="006E0315" w:rsidRDefault="006E0315" w:rsidP="006E0315">
      <w:pPr>
        <w:autoSpaceDE w:val="0"/>
        <w:autoSpaceDN w:val="0"/>
        <w:adjustRightInd w:val="0"/>
        <w:spacing w:after="0" w:line="240" w:lineRule="auto"/>
        <w:ind w:left="540" w:hanging="540"/>
        <w:rPr>
          <w:rFonts w:cstheme="minorHAnsi"/>
          <w:sz w:val="28"/>
          <w:szCs w:val="28"/>
        </w:rPr>
      </w:pP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War Stories</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“Splitting the Difference”</w:t>
      </w:r>
    </w:p>
    <w:p w:rsidR="006E0315" w:rsidRPr="006E0315" w:rsidRDefault="006E0315" w:rsidP="006E0315">
      <w:pPr>
        <w:autoSpaceDE w:val="0"/>
        <w:autoSpaceDN w:val="0"/>
        <w:adjustRightInd w:val="0"/>
        <w:spacing w:after="0" w:line="240" w:lineRule="auto"/>
        <w:ind w:left="540" w:hanging="540"/>
        <w:rPr>
          <w:rFonts w:cstheme="minorHAnsi"/>
          <w:sz w:val="28"/>
          <w:szCs w:val="28"/>
        </w:rPr>
      </w:pP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“What have YOU done with MY Money?”</w:t>
      </w:r>
    </w:p>
    <w:p w:rsidR="006E0315" w:rsidRPr="006E0315" w:rsidRDefault="006E0315" w:rsidP="006E0315">
      <w:pPr>
        <w:autoSpaceDE w:val="0"/>
        <w:autoSpaceDN w:val="0"/>
        <w:adjustRightInd w:val="0"/>
        <w:spacing w:after="0" w:line="240" w:lineRule="auto"/>
        <w:ind w:left="540" w:hanging="540"/>
        <w:rPr>
          <w:rFonts w:cstheme="minorHAnsi"/>
          <w:sz w:val="28"/>
          <w:szCs w:val="28"/>
        </w:rPr>
      </w:pP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How to build a “multi-use academic and athletic facility”</w:t>
      </w:r>
    </w:p>
    <w:p w:rsidR="006E0315" w:rsidRDefault="006E0315" w:rsidP="006E0315">
      <w:pPr>
        <w:autoSpaceDE w:val="0"/>
        <w:autoSpaceDN w:val="0"/>
        <w:adjustRightInd w:val="0"/>
        <w:spacing w:after="0" w:line="240" w:lineRule="auto"/>
        <w:rPr>
          <w:rFonts w:cstheme="minorHAnsi"/>
          <w:sz w:val="28"/>
          <w:szCs w:val="28"/>
        </w:rPr>
      </w:pPr>
    </w:p>
    <w:p w:rsidR="006E0315" w:rsidRPr="006E0315" w:rsidRDefault="006E0315" w:rsidP="006E0315">
      <w:pPr>
        <w:autoSpaceDE w:val="0"/>
        <w:autoSpaceDN w:val="0"/>
        <w:adjustRightInd w:val="0"/>
        <w:spacing w:after="0" w:line="240" w:lineRule="auto"/>
        <w:rPr>
          <w:rFonts w:cstheme="minorHAnsi"/>
          <w:sz w:val="28"/>
          <w:szCs w:val="28"/>
        </w:rPr>
      </w:pPr>
      <w:r w:rsidRPr="006E0315">
        <w:rPr>
          <w:rFonts w:cstheme="minorHAnsi"/>
          <w:sz w:val="28"/>
          <w:szCs w:val="28"/>
        </w:rPr>
        <w:t>Readings:</w:t>
      </w:r>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 xml:space="preserve">Chapter 8 in </w:t>
      </w:r>
      <w:proofErr w:type="spellStart"/>
      <w:r w:rsidRPr="006E0315">
        <w:rPr>
          <w:rFonts w:cstheme="minorHAnsi"/>
          <w:sz w:val="28"/>
          <w:szCs w:val="28"/>
        </w:rPr>
        <w:t>Saffell</w:t>
      </w:r>
      <w:proofErr w:type="spellEnd"/>
    </w:p>
    <w:p w:rsidR="006E0315" w:rsidRPr="006E0315" w:rsidRDefault="006E0315" w:rsidP="006E0315">
      <w:pPr>
        <w:autoSpaceDE w:val="0"/>
        <w:autoSpaceDN w:val="0"/>
        <w:adjustRightInd w:val="0"/>
        <w:spacing w:after="0" w:line="240" w:lineRule="auto"/>
        <w:ind w:left="540"/>
        <w:rPr>
          <w:rFonts w:cstheme="minorHAnsi"/>
          <w:sz w:val="28"/>
          <w:szCs w:val="28"/>
        </w:rPr>
      </w:pPr>
      <w:r w:rsidRPr="006E0315">
        <w:rPr>
          <w:rFonts w:cstheme="minorHAnsi"/>
          <w:sz w:val="28"/>
          <w:szCs w:val="28"/>
        </w:rPr>
        <w:t>Chapter 10 in GIA</w:t>
      </w:r>
    </w:p>
    <w:p w:rsidR="006E0315" w:rsidRPr="006E0315" w:rsidRDefault="006E0315" w:rsidP="006E0315">
      <w:pPr>
        <w:autoSpaceDE w:val="0"/>
        <w:autoSpaceDN w:val="0"/>
        <w:adjustRightInd w:val="0"/>
        <w:spacing w:after="0" w:line="240" w:lineRule="auto"/>
        <w:ind w:left="540" w:hanging="540"/>
        <w:rPr>
          <w:rFonts w:cstheme="minorHAnsi"/>
          <w:sz w:val="28"/>
          <w:szCs w:val="28"/>
        </w:rPr>
      </w:pPr>
    </w:p>
    <w:p w:rsidR="006E0315" w:rsidRPr="006E0315" w:rsidRDefault="006E0315" w:rsidP="006E0315">
      <w:pPr>
        <w:autoSpaceDE w:val="0"/>
        <w:autoSpaceDN w:val="0"/>
        <w:adjustRightInd w:val="0"/>
        <w:spacing w:after="0" w:line="240" w:lineRule="auto"/>
        <w:ind w:left="540" w:hanging="540"/>
        <w:rPr>
          <w:rFonts w:cstheme="minorHAnsi"/>
          <w:sz w:val="28"/>
          <w:szCs w:val="28"/>
        </w:rPr>
      </w:pPr>
    </w:p>
    <w:p w:rsidR="006E0315" w:rsidRPr="006E0315" w:rsidRDefault="006E0315" w:rsidP="006E0315">
      <w:pPr>
        <w:autoSpaceDE w:val="0"/>
        <w:autoSpaceDN w:val="0"/>
        <w:adjustRightInd w:val="0"/>
        <w:spacing w:after="0" w:line="240" w:lineRule="auto"/>
        <w:ind w:left="540" w:hanging="540"/>
        <w:rPr>
          <w:rFonts w:cstheme="minorHAnsi"/>
          <w:sz w:val="28"/>
          <w:szCs w:val="28"/>
        </w:rPr>
      </w:pPr>
    </w:p>
    <w:p w:rsidR="006E0315" w:rsidRPr="006E0315" w:rsidRDefault="006E0315" w:rsidP="006E0315">
      <w:pPr>
        <w:autoSpaceDE w:val="0"/>
        <w:autoSpaceDN w:val="0"/>
        <w:adjustRightInd w:val="0"/>
        <w:spacing w:after="0" w:line="240" w:lineRule="auto"/>
        <w:ind w:left="540" w:hanging="540"/>
        <w:rPr>
          <w:rFonts w:cstheme="minorHAnsi"/>
          <w:sz w:val="28"/>
          <w:szCs w:val="28"/>
        </w:rPr>
      </w:pPr>
    </w:p>
    <w:p w:rsidR="00972AEB" w:rsidRPr="006E0315" w:rsidRDefault="00972AEB">
      <w:pPr>
        <w:rPr>
          <w:rFonts w:cstheme="minorHAnsi"/>
          <w:sz w:val="28"/>
          <w:szCs w:val="28"/>
        </w:rPr>
      </w:pPr>
    </w:p>
    <w:sectPr w:rsidR="00972AEB" w:rsidRPr="006E0315" w:rsidSect="006E0315">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832B37A"/>
    <w:lvl w:ilvl="0">
      <w:numFmt w:val="bullet"/>
      <w:lvlText w:val="*"/>
      <w:lvlJc w:val="left"/>
    </w:lvl>
  </w:abstractNum>
  <w:num w:numId="1">
    <w:abstractNumId w:val="0"/>
    <w:lvlOverride w:ilvl="0">
      <w:lvl w:ilvl="0">
        <w:numFmt w:val="bullet"/>
        <w:lvlText w:val=""/>
        <w:legacy w:legacy="1" w:legacySpace="0" w:legacyIndent="0"/>
        <w:lvlJc w:val="left"/>
        <w:rPr>
          <w:rFonts w:ascii="Wingdings" w:hAnsi="Wingdings" w:hint="default"/>
          <w:sz w:val="48"/>
        </w:rPr>
      </w:lvl>
    </w:lvlOverride>
  </w:num>
  <w:num w:numId="2">
    <w:abstractNumId w:val="0"/>
    <w:lvlOverride w:ilvl="0">
      <w:lvl w:ilvl="0">
        <w:numFmt w:val="bullet"/>
        <w:lvlText w:val=""/>
        <w:legacy w:legacy="1" w:legacySpace="0" w:legacyIndent="0"/>
        <w:lvlJc w:val="left"/>
        <w:rPr>
          <w:rFonts w:ascii="Wingdings" w:hAnsi="Wingdings" w:hint="default"/>
          <w:sz w:val="41"/>
        </w:rPr>
      </w:lvl>
    </w:lvlOverride>
  </w:num>
  <w:num w:numId="3">
    <w:abstractNumId w:val="0"/>
    <w:lvlOverride w:ilvl="0">
      <w:lvl w:ilvl="0">
        <w:numFmt w:val="bullet"/>
        <w:lvlText w:val=""/>
        <w:legacy w:legacy="1" w:legacySpace="0" w:legacyIndent="0"/>
        <w:lvlJc w:val="left"/>
        <w:rPr>
          <w:rFonts w:ascii="Wingdings" w:hAnsi="Wingdings" w:hint="default"/>
          <w:sz w:val="35"/>
        </w:rPr>
      </w:lvl>
    </w:lvlOverride>
  </w:num>
  <w:num w:numId="4">
    <w:abstractNumId w:val="0"/>
    <w:lvlOverride w:ilvl="0">
      <w:lvl w:ilvl="0">
        <w:numFmt w:val="bullet"/>
        <w:lvlText w:val=""/>
        <w:legacy w:legacy="1" w:legacySpace="0" w:legacyIndent="0"/>
        <w:lvlJc w:val="left"/>
        <w:rPr>
          <w:rFonts w:ascii="Wingdings" w:hAnsi="Wingdings" w:hint="default"/>
          <w:sz w:val="34"/>
        </w:rPr>
      </w:lvl>
    </w:lvlOverride>
  </w:num>
  <w:num w:numId="5">
    <w:abstractNumId w:val="0"/>
    <w:lvlOverride w:ilvl="0">
      <w:lvl w:ilvl="0">
        <w:numFmt w:val="bullet"/>
        <w:lvlText w:val=""/>
        <w:legacy w:legacy="1" w:legacySpace="0" w:legacyIndent="0"/>
        <w:lvlJc w:val="left"/>
        <w:rPr>
          <w:rFonts w:ascii="Wingdings" w:hAnsi="Wingdings" w:hint="default"/>
          <w:sz w:val="27"/>
        </w:rPr>
      </w:lvl>
    </w:lvlOverride>
  </w:num>
  <w:num w:numId="6">
    <w:abstractNumId w:val="0"/>
    <w:lvlOverride w:ilvl="0">
      <w:lvl w:ilvl="0">
        <w:numFmt w:val="bullet"/>
        <w:lvlText w:val=""/>
        <w:legacy w:legacy="1" w:legacySpace="0" w:legacyIndent="0"/>
        <w:lvlJc w:val="left"/>
        <w:rPr>
          <w:rFonts w:ascii="Wingdings" w:hAnsi="Wingdings" w:hint="default"/>
          <w:sz w:val="31"/>
        </w:rPr>
      </w:lvl>
    </w:lvlOverride>
  </w:num>
  <w:num w:numId="7">
    <w:abstractNumId w:val="0"/>
    <w:lvlOverride w:ilvl="0">
      <w:lvl w:ilvl="0">
        <w:numFmt w:val="bullet"/>
        <w:lvlText w:val=""/>
        <w:legacy w:legacy="1" w:legacySpace="0" w:legacyIndent="0"/>
        <w:lvlJc w:val="left"/>
        <w:rPr>
          <w:rFonts w:ascii="Wingdings" w:hAnsi="Wingdings" w:hint="default"/>
          <w:sz w:val="25"/>
        </w:rPr>
      </w:lvl>
    </w:lvlOverride>
  </w:num>
  <w:num w:numId="8">
    <w:abstractNumId w:val="0"/>
    <w:lvlOverride w:ilvl="0">
      <w:lvl w:ilvl="0">
        <w:numFmt w:val="bullet"/>
        <w:lvlText w:val=""/>
        <w:legacy w:legacy="1" w:legacySpace="0" w:legacyIndent="0"/>
        <w:lvlJc w:val="left"/>
        <w:rPr>
          <w:rFonts w:ascii="Wingdings" w:hAnsi="Wingdings" w:hint="default"/>
          <w:sz w:val="27"/>
        </w:rPr>
      </w:lvl>
    </w:lvlOverride>
  </w:num>
  <w:num w:numId="9">
    <w:abstractNumId w:val="0"/>
    <w:lvlOverride w:ilvl="0">
      <w:lvl w:ilvl="0">
        <w:numFmt w:val="bullet"/>
        <w:lvlText w:val=""/>
        <w:legacy w:legacy="1" w:legacySpace="0" w:legacyIndent="0"/>
        <w:lvlJc w:val="left"/>
        <w:rPr>
          <w:rFonts w:ascii="Wingdings" w:hAnsi="Wingdings" w:hint="default"/>
          <w:sz w:val="29"/>
        </w:rPr>
      </w:lvl>
    </w:lvlOverride>
  </w:num>
  <w:num w:numId="10">
    <w:abstractNumId w:val="0"/>
    <w:lvlOverride w:ilvl="0">
      <w:lvl w:ilvl="0">
        <w:numFmt w:val="bullet"/>
        <w:lvlText w:val=""/>
        <w:legacy w:legacy="1" w:legacySpace="0" w:legacyIndent="0"/>
        <w:lvlJc w:val="left"/>
        <w:rPr>
          <w:rFonts w:ascii="Wingdings" w:hAnsi="Wingdings" w:hint="default"/>
          <w:sz w:val="28"/>
        </w:rPr>
      </w:lvl>
    </w:lvlOverride>
  </w:num>
  <w:num w:numId="11">
    <w:abstractNumId w:val="0"/>
    <w:lvlOverride w:ilvl="0">
      <w:lvl w:ilvl="0">
        <w:numFmt w:val="bullet"/>
        <w:lvlText w:val=""/>
        <w:legacy w:legacy="1" w:legacySpace="0" w:legacyIndent="0"/>
        <w:lvlJc w:val="left"/>
        <w:rPr>
          <w:rFonts w:ascii="Wingdings" w:hAnsi="Wingdings" w:hint="default"/>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4F0F356-9BD7-4C25-91BC-B6FE4B347083}"/>
    <w:docVar w:name="dgnword-eventsink" w:val="211068792"/>
  </w:docVars>
  <w:rsids>
    <w:rsidRoot w:val="006E0315"/>
    <w:rsid w:val="00323133"/>
    <w:rsid w:val="006E0315"/>
    <w:rsid w:val="00972AEB"/>
    <w:rsid w:val="00AA1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323133"/>
    <w:pPr>
      <w:spacing w:after="240" w:line="240" w:lineRule="atLeast"/>
    </w:pPr>
    <w:rPr>
      <w:rFonts w:ascii="Garamond" w:eastAsia="Times New Roman" w:hAnsi="Garamond" w:cs="Times New Roman"/>
      <w:spacing w:val="-5"/>
      <w:sz w:val="24"/>
      <w:szCs w:val="20"/>
    </w:rPr>
  </w:style>
  <w:style w:type="character" w:customStyle="1" w:styleId="BodyTextChar">
    <w:name w:val="Body Text Char"/>
    <w:basedOn w:val="DefaultParagraphFont"/>
    <w:link w:val="BodyText"/>
    <w:semiHidden/>
    <w:rsid w:val="00323133"/>
    <w:rPr>
      <w:rFonts w:ascii="Garamond" w:eastAsia="Times New Roman" w:hAnsi="Garamond" w:cs="Times New Roman"/>
      <w:spacing w:val="-5"/>
      <w:sz w:val="24"/>
      <w:szCs w:val="20"/>
    </w:rPr>
  </w:style>
  <w:style w:type="paragraph" w:styleId="Subtitle">
    <w:name w:val="Subtitle"/>
    <w:basedOn w:val="Normal"/>
    <w:link w:val="SubtitleChar"/>
    <w:qFormat/>
    <w:rsid w:val="00323133"/>
    <w:pPr>
      <w:spacing w:after="60" w:line="240" w:lineRule="atLeast"/>
      <w:jc w:val="center"/>
    </w:pPr>
    <w:rPr>
      <w:rFonts w:ascii="Arial" w:eastAsia="Times New Roman" w:hAnsi="Arial" w:cs="Times New Roman"/>
      <w:sz w:val="24"/>
      <w:szCs w:val="20"/>
    </w:rPr>
  </w:style>
  <w:style w:type="character" w:customStyle="1" w:styleId="SubtitleChar">
    <w:name w:val="Subtitle Char"/>
    <w:basedOn w:val="DefaultParagraphFont"/>
    <w:link w:val="Subtitle"/>
    <w:rsid w:val="00323133"/>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323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133"/>
    <w:rPr>
      <w:rFonts w:ascii="Tahoma" w:hAnsi="Tahoma" w:cs="Tahoma"/>
      <w:sz w:val="16"/>
      <w:szCs w:val="16"/>
    </w:rPr>
  </w:style>
  <w:style w:type="paragraph" w:styleId="Title">
    <w:name w:val="Title"/>
    <w:basedOn w:val="Normal"/>
    <w:link w:val="TitleChar"/>
    <w:qFormat/>
    <w:rsid w:val="00323133"/>
    <w:pPr>
      <w:spacing w:before="240" w:after="60" w:line="240" w:lineRule="atLeast"/>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323133"/>
    <w:rPr>
      <w:rFonts w:ascii="Arial" w:eastAsia="Times New Roman" w:hAnsi="Arial" w:cs="Times New Roman"/>
      <w:b/>
      <w:kern w:val="28"/>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323133"/>
    <w:pPr>
      <w:spacing w:after="240" w:line="240" w:lineRule="atLeast"/>
    </w:pPr>
    <w:rPr>
      <w:rFonts w:ascii="Garamond" w:eastAsia="Times New Roman" w:hAnsi="Garamond" w:cs="Times New Roman"/>
      <w:spacing w:val="-5"/>
      <w:sz w:val="24"/>
      <w:szCs w:val="20"/>
    </w:rPr>
  </w:style>
  <w:style w:type="character" w:customStyle="1" w:styleId="BodyTextChar">
    <w:name w:val="Body Text Char"/>
    <w:basedOn w:val="DefaultParagraphFont"/>
    <w:link w:val="BodyText"/>
    <w:semiHidden/>
    <w:rsid w:val="00323133"/>
    <w:rPr>
      <w:rFonts w:ascii="Garamond" w:eastAsia="Times New Roman" w:hAnsi="Garamond" w:cs="Times New Roman"/>
      <w:spacing w:val="-5"/>
      <w:sz w:val="24"/>
      <w:szCs w:val="20"/>
    </w:rPr>
  </w:style>
  <w:style w:type="paragraph" w:styleId="Subtitle">
    <w:name w:val="Subtitle"/>
    <w:basedOn w:val="Normal"/>
    <w:link w:val="SubtitleChar"/>
    <w:qFormat/>
    <w:rsid w:val="00323133"/>
    <w:pPr>
      <w:spacing w:after="60" w:line="240" w:lineRule="atLeast"/>
      <w:jc w:val="center"/>
    </w:pPr>
    <w:rPr>
      <w:rFonts w:ascii="Arial" w:eastAsia="Times New Roman" w:hAnsi="Arial" w:cs="Times New Roman"/>
      <w:sz w:val="24"/>
      <w:szCs w:val="20"/>
    </w:rPr>
  </w:style>
  <w:style w:type="character" w:customStyle="1" w:styleId="SubtitleChar">
    <w:name w:val="Subtitle Char"/>
    <w:basedOn w:val="DefaultParagraphFont"/>
    <w:link w:val="Subtitle"/>
    <w:rsid w:val="00323133"/>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323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133"/>
    <w:rPr>
      <w:rFonts w:ascii="Tahoma" w:hAnsi="Tahoma" w:cs="Tahoma"/>
      <w:sz w:val="16"/>
      <w:szCs w:val="16"/>
    </w:rPr>
  </w:style>
  <w:style w:type="paragraph" w:styleId="Title">
    <w:name w:val="Title"/>
    <w:basedOn w:val="Normal"/>
    <w:link w:val="TitleChar"/>
    <w:qFormat/>
    <w:rsid w:val="00323133"/>
    <w:pPr>
      <w:spacing w:before="240" w:after="60" w:line="240" w:lineRule="atLeast"/>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323133"/>
    <w:rPr>
      <w:rFonts w:ascii="Arial" w:eastAsia="Times New Roman" w:hAnsi="Arial" w:cs="Times New Roman"/>
      <w:b/>
      <w:kern w:val="28"/>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692237">
      <w:bodyDiv w:val="1"/>
      <w:marLeft w:val="0"/>
      <w:marRight w:val="0"/>
      <w:marTop w:val="0"/>
      <w:marBottom w:val="0"/>
      <w:divBdr>
        <w:top w:val="none" w:sz="0" w:space="0" w:color="auto"/>
        <w:left w:val="none" w:sz="0" w:space="0" w:color="auto"/>
        <w:bottom w:val="none" w:sz="0" w:space="0" w:color="auto"/>
        <w:right w:val="none" w:sz="0" w:space="0" w:color="auto"/>
      </w:divBdr>
    </w:div>
    <w:div w:id="174564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ilecluster\BUDADMIN$\Projects\FACTS%20BROCHURE\FY11%20BROCHURE\chart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ilecluster\BUDADMIN$\Projects\FACTS%20BROCHURE\FY11%20BROCHURE\chart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1325301204819223"/>
          <c:y val="0.19626213005195448"/>
          <c:w val="0.42469879518072351"/>
          <c:h val="0.65888000803156144"/>
        </c:manualLayout>
      </c:layout>
      <c:pieChart>
        <c:varyColors val="1"/>
        <c:ser>
          <c:idx val="0"/>
          <c:order val="0"/>
          <c:spPr>
            <a:ln w="12700">
              <a:noFill/>
              <a:prstDash val="solid"/>
            </a:ln>
            <a:scene3d>
              <a:camera prst="orthographicFront"/>
              <a:lightRig rig="threePt" dir="t"/>
            </a:scene3d>
            <a:sp3d>
              <a:bevelT w="63500" h="25400"/>
            </a:sp3d>
          </c:spPr>
          <c:dLbls>
            <c:dLbl>
              <c:idx val="0"/>
              <c:layout>
                <c:manualLayout>
                  <c:x val="7.826581918224082E-4"/>
                  <c:y val="-0.11879853803321336"/>
                </c:manualLayout>
              </c:layout>
              <c:dLblPos val="bestFit"/>
              <c:showLegendKey val="0"/>
              <c:showVal val="0"/>
              <c:showCatName val="1"/>
              <c:showSerName val="0"/>
              <c:showPercent val="1"/>
              <c:showBubbleSize val="0"/>
            </c:dLbl>
            <c:dLbl>
              <c:idx val="1"/>
              <c:layout>
                <c:manualLayout>
                  <c:x val="-7.4571295567889065E-2"/>
                  <c:y val="-2.7989586305566853E-2"/>
                </c:manualLayout>
              </c:layout>
              <c:dLblPos val="bestFit"/>
              <c:showLegendKey val="0"/>
              <c:showVal val="0"/>
              <c:showCatName val="1"/>
              <c:showSerName val="0"/>
              <c:showPercent val="1"/>
              <c:showBubbleSize val="0"/>
            </c:dLbl>
            <c:dLbl>
              <c:idx val="2"/>
              <c:layout>
                <c:manualLayout>
                  <c:x val="-2.5488094108718339E-2"/>
                  <c:y val="5.1221330978487467E-2"/>
                </c:manualLayout>
              </c:layout>
              <c:tx>
                <c:rich>
                  <a:bodyPr/>
                  <a:lstStyle/>
                  <a:p>
                    <a:r>
                      <a:rPr lang="en-US"/>
                      <a:t>Health/</a:t>
                    </a:r>
                  </a:p>
                  <a:p>
                    <a:r>
                      <a:rPr lang="en-US"/>
                      <a:t>Human Services
23%</a:t>
                    </a:r>
                  </a:p>
                </c:rich>
              </c:tx>
              <c:dLblPos val="bestFit"/>
              <c:showLegendKey val="0"/>
              <c:showVal val="0"/>
              <c:showCatName val="1"/>
              <c:showSerName val="0"/>
              <c:showPercent val="1"/>
              <c:showBubbleSize val="0"/>
            </c:dLbl>
            <c:dLbl>
              <c:idx val="3"/>
              <c:layout>
                <c:manualLayout>
                  <c:x val="-5.3275147835436312E-2"/>
                  <c:y val="0.10006122801567829"/>
                </c:manualLayout>
              </c:layout>
              <c:dLblPos val="bestFit"/>
              <c:showLegendKey val="0"/>
              <c:showVal val="0"/>
              <c:showCatName val="1"/>
              <c:showSerName val="0"/>
              <c:showPercent val="1"/>
              <c:showBubbleSize val="0"/>
            </c:dLbl>
            <c:dLbl>
              <c:idx val="4"/>
              <c:layout>
                <c:manualLayout>
                  <c:x val="5.6879802675267772E-2"/>
                  <c:y val="6.5376407388328958E-3"/>
                </c:manualLayout>
              </c:layout>
              <c:dLblPos val="bestFit"/>
              <c:showLegendKey val="0"/>
              <c:showVal val="0"/>
              <c:showCatName val="1"/>
              <c:showSerName val="0"/>
              <c:showPercent val="1"/>
              <c:showBubbleSize val="0"/>
            </c:dLbl>
            <c:numFmt formatCode="0%" sourceLinked="0"/>
            <c:spPr>
              <a:noFill/>
              <a:ln w="25400">
                <a:noFill/>
              </a:ln>
            </c:spPr>
            <c:txPr>
              <a:bodyPr/>
              <a:lstStyle/>
              <a:p>
                <a:pPr>
                  <a:defRPr sz="625" b="0" i="0" u="none" strike="noStrike" baseline="0">
                    <a:solidFill>
                      <a:srgbClr val="0000FF"/>
                    </a:solidFill>
                    <a:latin typeface="Arial"/>
                    <a:ea typeface="Arial"/>
                    <a:cs typeface="Arial"/>
                  </a:defRPr>
                </a:pPr>
                <a:endParaRPr lang="en-US"/>
              </a:p>
            </c:txPr>
            <c:showLegendKey val="0"/>
            <c:showVal val="0"/>
            <c:showCatName val="1"/>
            <c:showSerName val="0"/>
            <c:showPercent val="1"/>
            <c:showBubbleSize val="0"/>
            <c:showLeaderLines val="0"/>
          </c:dLbls>
          <c:cat>
            <c:strRef>
              <c:f>Distribution!$A$1:$A$5</c:f>
              <c:strCache>
                <c:ptCount val="5"/>
                <c:pt idx="0">
                  <c:v>General Education</c:v>
                </c:pt>
                <c:pt idx="1">
                  <c:v>Higher Education</c:v>
                </c:pt>
                <c:pt idx="2">
                  <c:v>Health/Human Services</c:v>
                </c:pt>
                <c:pt idx="3">
                  <c:v>Criminal Justice</c:v>
                </c:pt>
                <c:pt idx="4">
                  <c:v>Remaining Govt.</c:v>
                </c:pt>
              </c:strCache>
            </c:strRef>
          </c:cat>
          <c:val>
            <c:numRef>
              <c:f>Distribution!$B$1:$B$5</c:f>
              <c:numCache>
                <c:formatCode>0%</c:formatCode>
                <c:ptCount val="5"/>
                <c:pt idx="0">
                  <c:v>0.46012273474898885</c:v>
                </c:pt>
                <c:pt idx="1">
                  <c:v>0.17615347487203306</c:v>
                </c:pt>
                <c:pt idx="2">
                  <c:v>0.23289303567369404</c:v>
                </c:pt>
                <c:pt idx="3">
                  <c:v>9.2249559647325285E-2</c:v>
                </c:pt>
                <c:pt idx="4">
                  <c:v>3.8581195057958838E-2</c:v>
                </c:pt>
              </c:numCache>
            </c:numRef>
          </c:val>
        </c:ser>
        <c:dLbls>
          <c:showLegendKey val="0"/>
          <c:showVal val="0"/>
          <c:showCatName val="1"/>
          <c:showSerName val="0"/>
          <c:showPercent val="1"/>
          <c:showBubbleSize val="0"/>
          <c:showLeaderLines val="0"/>
        </c:dLbls>
        <c:firstSliceAng val="0"/>
      </c:pieChart>
      <c:spPr>
        <a:noFill/>
        <a:ln w="25400">
          <a:noFill/>
        </a:ln>
      </c:spPr>
    </c:plotArea>
    <c:plotVisOnly val="1"/>
    <c:dispBlanksAs val="zero"/>
    <c:showDLblsOverMax val="0"/>
  </c:chart>
  <c:spPr>
    <a:solidFill>
      <a:srgbClr val="FFFFFF"/>
    </a:solidFill>
    <a:ln w="12700">
      <a:solidFill>
        <a:srgbClr val="0000FF"/>
      </a:solidFill>
      <a:prstDash val="solid"/>
    </a:ln>
  </c:spPr>
  <c:txPr>
    <a:bodyPr/>
    <a:lstStyle/>
    <a:p>
      <a:pPr>
        <a:defRPr sz="875"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26013305738595366"/>
          <c:y val="0.13071689887473686"/>
          <c:w val="0.41931060732212211"/>
          <c:h val="0.6455429918608353"/>
        </c:manualLayout>
      </c:layout>
      <c:pieChart>
        <c:varyColors val="1"/>
        <c:ser>
          <c:idx val="0"/>
          <c:order val="0"/>
          <c:spPr>
            <a:scene3d>
              <a:camera prst="orthographicFront"/>
              <a:lightRig rig="threePt" dir="t">
                <a:rot lat="0" lon="0" rev="1200000"/>
              </a:lightRig>
            </a:scene3d>
            <a:sp3d>
              <a:bevelT w="63500" h="25400"/>
            </a:sp3d>
          </c:spPr>
          <c:dLbls>
            <c:dLbl>
              <c:idx val="0"/>
              <c:layout/>
              <c:tx>
                <c:rich>
                  <a:bodyPr/>
                  <a:lstStyle/>
                  <a:p>
                    <a:r>
                      <a:rPr lang="en-US">
                        <a:solidFill>
                          <a:srgbClr val="0000FF"/>
                        </a:solidFill>
                      </a:rPr>
                      <a:t>Personal &amp; Corporate Income Tax
14%</a:t>
                    </a:r>
                  </a:p>
                </c:rich>
              </c:tx>
              <c:dLblPos val="outEnd"/>
              <c:showLegendKey val="0"/>
              <c:showVal val="0"/>
              <c:showCatName val="1"/>
              <c:showSerName val="0"/>
              <c:showPercent val="1"/>
              <c:showBubbleSize val="0"/>
            </c:dLbl>
            <c:dLbl>
              <c:idx val="1"/>
              <c:layout>
                <c:manualLayout>
                  <c:x val="2.4169184290030132E-2"/>
                  <c:y val="8.0620115671066278E-2"/>
                </c:manualLayout>
              </c:layout>
              <c:tx>
                <c:rich>
                  <a:bodyPr/>
                  <a:lstStyle/>
                  <a:p>
                    <a:pPr algn="ctr" rtl="0">
                      <a:defRPr lang="en-US" sz="630" b="0" i="0" u="none" strike="noStrike" kern="1200" baseline="0">
                        <a:solidFill>
                          <a:srgbClr val="0000FF"/>
                        </a:solidFill>
                        <a:latin typeface="Arial" pitchFamily="34" charset="0"/>
                        <a:ea typeface="+mn-ea"/>
                        <a:cs typeface="Arial" pitchFamily="34" charset="0"/>
                      </a:defRPr>
                    </a:pPr>
                    <a:r>
                      <a:rPr lang="en-US" sz="630" b="0" i="0" u="none" strike="noStrike" kern="1200" baseline="0">
                        <a:solidFill>
                          <a:srgbClr val="0000FF"/>
                        </a:solidFill>
                        <a:latin typeface="Arial" pitchFamily="34" charset="0"/>
                        <a:ea typeface="+mn-ea"/>
                        <a:cs typeface="Arial" pitchFamily="34" charset="0"/>
                      </a:rPr>
                      <a:t>Gas &amp; Motor Carrier Tax
2%</a:t>
                    </a:r>
                  </a:p>
                </c:rich>
              </c:tx>
              <c:spPr/>
              <c:dLblPos val="bestFit"/>
              <c:showLegendKey val="0"/>
              <c:showVal val="0"/>
              <c:showCatName val="1"/>
              <c:showSerName val="0"/>
              <c:showPercent val="1"/>
              <c:showBubbleSize val="0"/>
            </c:dLbl>
            <c:dLbl>
              <c:idx val="2"/>
              <c:layout>
                <c:manualLayout>
                  <c:x val="1.6112789526686811E-2"/>
                  <c:y val="9.3023210389691566E-2"/>
                </c:manualLayout>
              </c:layout>
              <c:tx>
                <c:rich>
                  <a:bodyPr/>
                  <a:lstStyle/>
                  <a:p>
                    <a:pPr algn="ctr" rtl="0">
                      <a:defRPr lang="en-US" sz="630" b="0" i="0" u="none" strike="noStrike" kern="1200" baseline="0">
                        <a:solidFill>
                          <a:srgbClr val="0000FF"/>
                        </a:solidFill>
                        <a:latin typeface="Arial" pitchFamily="34" charset="0"/>
                        <a:ea typeface="+mn-ea"/>
                        <a:cs typeface="Arial" pitchFamily="34" charset="0"/>
                      </a:defRPr>
                    </a:pPr>
                    <a:r>
                      <a:rPr lang="en-US" sz="630" b="0" i="0" u="none" strike="noStrike" kern="1200" baseline="0">
                        <a:solidFill>
                          <a:srgbClr val="0000FF"/>
                        </a:solidFill>
                        <a:latin typeface="Arial" pitchFamily="34" charset="0"/>
                        <a:ea typeface="+mn-ea"/>
                        <a:cs typeface="Arial" pitchFamily="34" charset="0"/>
                      </a:rPr>
                      <a:t>Consumer </a:t>
                    </a:r>
                  </a:p>
                  <a:p>
                    <a:pPr algn="ctr" rtl="0">
                      <a:defRPr lang="en-US" sz="630" b="0" i="0" u="none" strike="noStrike" kern="1200" baseline="0">
                        <a:solidFill>
                          <a:srgbClr val="0000FF"/>
                        </a:solidFill>
                        <a:latin typeface="Arial" pitchFamily="34" charset="0"/>
                        <a:ea typeface="+mn-ea"/>
                        <a:cs typeface="Arial" pitchFamily="34" charset="0"/>
                      </a:defRPr>
                    </a:pPr>
                    <a:r>
                      <a:rPr lang="en-US" sz="630" b="0" i="0" u="none" strike="noStrike" kern="1200" baseline="0">
                        <a:solidFill>
                          <a:srgbClr val="0000FF"/>
                        </a:solidFill>
                        <a:latin typeface="Arial" pitchFamily="34" charset="0"/>
                        <a:ea typeface="+mn-ea"/>
                        <a:cs typeface="Arial" pitchFamily="34" charset="0"/>
                      </a:rPr>
                      <a:t>Sales Tax
13%</a:t>
                    </a:r>
                  </a:p>
                </c:rich>
              </c:tx>
              <c:spPr/>
              <c:dLblPos val="bestFit"/>
              <c:showLegendKey val="0"/>
              <c:showVal val="0"/>
              <c:showCatName val="1"/>
              <c:showSerName val="0"/>
              <c:showPercent val="1"/>
              <c:showBubbleSize val="0"/>
            </c:dLbl>
            <c:dLbl>
              <c:idx val="3"/>
              <c:layout>
                <c:manualLayout>
                  <c:x val="9.2648539778449224E-2"/>
                  <c:y val="0"/>
                </c:manualLayout>
              </c:layout>
              <c:tx>
                <c:rich>
                  <a:bodyPr/>
                  <a:lstStyle/>
                  <a:p>
                    <a:pPr algn="ctr" rtl="0">
                      <a:defRPr lang="en-US" sz="630" b="0" i="0" u="none" strike="noStrike" kern="1200" baseline="0">
                        <a:solidFill>
                          <a:srgbClr val="0000FF"/>
                        </a:solidFill>
                        <a:latin typeface="Arial" pitchFamily="34" charset="0"/>
                        <a:ea typeface="+mn-ea"/>
                        <a:cs typeface="Arial" pitchFamily="34" charset="0"/>
                      </a:defRPr>
                    </a:pPr>
                    <a:r>
                      <a:rPr lang="en-US" sz="630" b="0" i="0" u="none" strike="noStrike" kern="1200" baseline="0">
                        <a:solidFill>
                          <a:srgbClr val="0000FF"/>
                        </a:solidFill>
                        <a:latin typeface="Arial" pitchFamily="34" charset="0"/>
                        <a:ea typeface="+mn-ea"/>
                        <a:cs typeface="Arial" pitchFamily="34" charset="0"/>
                      </a:rPr>
                      <a:t>Inter-</a:t>
                    </a:r>
                  </a:p>
                  <a:p>
                    <a:pPr algn="ctr" rtl="0">
                      <a:defRPr lang="en-US" sz="630" b="0" i="0" u="none" strike="noStrike" kern="1200" baseline="0">
                        <a:solidFill>
                          <a:srgbClr val="0000FF"/>
                        </a:solidFill>
                        <a:latin typeface="Arial" pitchFamily="34" charset="0"/>
                        <a:ea typeface="+mn-ea"/>
                        <a:cs typeface="Arial" pitchFamily="34" charset="0"/>
                      </a:defRPr>
                    </a:pPr>
                    <a:r>
                      <a:rPr lang="en-US" sz="630" b="0" i="0" u="none" strike="noStrike" kern="1200" baseline="0">
                        <a:solidFill>
                          <a:srgbClr val="0000FF"/>
                        </a:solidFill>
                        <a:latin typeface="Arial" pitchFamily="34" charset="0"/>
                        <a:ea typeface="+mn-ea"/>
                        <a:cs typeface="Arial" pitchFamily="34" charset="0"/>
                      </a:rPr>
                      <a:t>governmental
35%</a:t>
                    </a:r>
                  </a:p>
                </c:rich>
              </c:tx>
              <c:spPr/>
              <c:dLblPos val="bestFit"/>
              <c:showLegendKey val="0"/>
              <c:showVal val="0"/>
              <c:showCatName val="1"/>
              <c:showSerName val="0"/>
              <c:showPercent val="1"/>
              <c:showBubbleSize val="0"/>
            </c:dLbl>
            <c:dLbl>
              <c:idx val="4"/>
              <c:layout/>
              <c:tx>
                <c:rich>
                  <a:bodyPr/>
                  <a:lstStyle/>
                  <a:p>
                    <a:pPr algn="ctr" rtl="0">
                      <a:defRPr lang="en-US" sz="630" b="0" i="0" u="none" strike="noStrike" kern="1200" baseline="0">
                        <a:solidFill>
                          <a:srgbClr val="0000FF"/>
                        </a:solidFill>
                        <a:latin typeface="Arial" pitchFamily="34" charset="0"/>
                        <a:ea typeface="+mn-ea"/>
                        <a:cs typeface="Arial" pitchFamily="34" charset="0"/>
                      </a:defRPr>
                    </a:pPr>
                    <a:r>
                      <a:rPr lang="en-US" sz="630" b="0" i="0" u="none" strike="noStrike" kern="1200" baseline="0">
                        <a:solidFill>
                          <a:srgbClr val="0000FF"/>
                        </a:solidFill>
                        <a:latin typeface="Arial" pitchFamily="34" charset="0"/>
                        <a:ea typeface="+mn-ea"/>
                        <a:cs typeface="Arial" pitchFamily="34" charset="0"/>
                      </a:rPr>
                      <a:t>Other Taxes
5%</a:t>
                    </a:r>
                  </a:p>
                </c:rich>
              </c:tx>
              <c:spPr/>
              <c:dLblPos val="outEnd"/>
              <c:showLegendKey val="0"/>
              <c:showVal val="0"/>
              <c:showCatName val="1"/>
              <c:showSerName val="0"/>
              <c:showPercent val="1"/>
              <c:showBubbleSize val="0"/>
            </c:dLbl>
            <c:dLbl>
              <c:idx val="5"/>
              <c:layout/>
              <c:tx>
                <c:rich>
                  <a:bodyPr/>
                  <a:lstStyle/>
                  <a:p>
                    <a:pPr algn="ctr" rtl="0">
                      <a:defRPr lang="en-US" sz="630" b="0" i="0" u="none" strike="noStrike" kern="1200" baseline="0">
                        <a:solidFill>
                          <a:srgbClr val="0000FF"/>
                        </a:solidFill>
                        <a:latin typeface="Arial" pitchFamily="34" charset="0"/>
                        <a:ea typeface="+mn-ea"/>
                        <a:cs typeface="Arial" pitchFamily="34" charset="0"/>
                      </a:defRPr>
                    </a:pPr>
                    <a:r>
                      <a:rPr lang="en-US" sz="630" b="0" i="0" u="none" strike="noStrike" kern="1200" baseline="0">
                        <a:solidFill>
                          <a:srgbClr val="0000FF"/>
                        </a:solidFill>
                        <a:latin typeface="Arial" pitchFamily="34" charset="0"/>
                        <a:ea typeface="+mn-ea"/>
                        <a:cs typeface="Arial" pitchFamily="34" charset="0"/>
                      </a:rPr>
                      <a:t>Other Revenues
8%</a:t>
                    </a:r>
                  </a:p>
                </c:rich>
              </c:tx>
              <c:spPr/>
              <c:dLblPos val="outEnd"/>
              <c:showLegendKey val="0"/>
              <c:showVal val="0"/>
              <c:showCatName val="1"/>
              <c:showSerName val="0"/>
              <c:showPercent val="1"/>
              <c:showBubbleSize val="0"/>
            </c:dLbl>
            <c:dLbl>
              <c:idx val="6"/>
              <c:spPr/>
              <c:txPr>
                <a:bodyPr/>
                <a:lstStyle/>
                <a:p>
                  <a:pPr algn="ctr" rtl="0">
                    <a:defRPr lang="en-US" sz="630" b="0" i="0" u="none" strike="noStrike" kern="1200" baseline="0">
                      <a:solidFill>
                        <a:srgbClr val="0000FF"/>
                      </a:solidFill>
                      <a:latin typeface="Arial" pitchFamily="34" charset="0"/>
                      <a:ea typeface="+mn-ea"/>
                      <a:cs typeface="Arial" pitchFamily="34" charset="0"/>
                    </a:defRPr>
                  </a:pPr>
                  <a:endParaRPr lang="en-US"/>
                </a:p>
              </c:txPr>
              <c:dLblPos val="outEnd"/>
              <c:showLegendKey val="0"/>
              <c:showVal val="0"/>
              <c:showCatName val="1"/>
              <c:showSerName val="0"/>
              <c:showPercent val="1"/>
              <c:showBubbleSize val="0"/>
            </c:dLbl>
            <c:txPr>
              <a:bodyPr/>
              <a:lstStyle/>
              <a:p>
                <a:pPr>
                  <a:defRPr sz="630">
                    <a:latin typeface="Arial" pitchFamily="34" charset="0"/>
                    <a:cs typeface="Arial" pitchFamily="34" charset="0"/>
                  </a:defRPr>
                </a:pPr>
                <a:endParaRPr lang="en-US"/>
              </a:p>
            </c:txPr>
            <c:dLblPos val="outEnd"/>
            <c:showLegendKey val="0"/>
            <c:showVal val="0"/>
            <c:showCatName val="1"/>
            <c:showSerName val="0"/>
            <c:showPercent val="1"/>
            <c:showBubbleSize val="0"/>
            <c:showLeaderLines val="0"/>
          </c:dLbls>
          <c:cat>
            <c:strRef>
              <c:f>[1]Sheet1!$A$3:$A$9</c:f>
              <c:strCache>
                <c:ptCount val="7"/>
                <c:pt idx="0">
                  <c:v>Personal and corporate income tax</c:v>
                </c:pt>
                <c:pt idx="1">
                  <c:v>Gas and motor carrier tax</c:v>
                </c:pt>
                <c:pt idx="2">
                  <c:v>Consumer sales tax</c:v>
                </c:pt>
                <c:pt idx="3">
                  <c:v>Intergovernmental</c:v>
                </c:pt>
                <c:pt idx="4">
                  <c:v>Other taxes</c:v>
                </c:pt>
                <c:pt idx="5">
                  <c:v>Other revenues</c:v>
                </c:pt>
                <c:pt idx="6">
                  <c:v>Enterprise Funds</c:v>
                </c:pt>
              </c:strCache>
            </c:strRef>
          </c:cat>
          <c:val>
            <c:numRef>
              <c:f>[1]Sheet1!$C$3:$C$9</c:f>
              <c:numCache>
                <c:formatCode>_(* #,##0_);_(* \(#,##0\);_(* "-"_);_(@_)</c:formatCode>
                <c:ptCount val="7"/>
                <c:pt idx="0">
                  <c:v>2697352</c:v>
                </c:pt>
                <c:pt idx="1">
                  <c:v>444232</c:v>
                </c:pt>
                <c:pt idx="2">
                  <c:v>2491772</c:v>
                </c:pt>
                <c:pt idx="3">
                  <c:v>6642135</c:v>
                </c:pt>
                <c:pt idx="4">
                  <c:v>927452</c:v>
                </c:pt>
                <c:pt idx="5">
                  <c:v>1496731</c:v>
                </c:pt>
                <c:pt idx="6">
                  <c:v>4243263</c:v>
                </c:pt>
              </c:numCache>
            </c:numRef>
          </c:val>
        </c:ser>
        <c:dLbls>
          <c:showLegendKey val="0"/>
          <c:showVal val="1"/>
          <c:showCatName val="1"/>
          <c:showSerName val="0"/>
          <c:showPercent val="0"/>
          <c:showBubbleSize val="0"/>
          <c:showLeaderLines val="0"/>
        </c:dLbls>
        <c:firstSliceAng val="0"/>
      </c:pieChart>
    </c:plotArea>
    <c:plotVisOnly val="1"/>
    <c:dispBlanksAs val="gap"/>
    <c:showDLblsOverMax val="0"/>
  </c:chart>
  <c:spPr>
    <a:ln>
      <a:solidFill>
        <a:srgbClr val="0000FF"/>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Kilpatrick Klein</dc:creator>
  <cp:lastModifiedBy>Lori Kilpatrick Klein</cp:lastModifiedBy>
  <cp:revision>3</cp:revision>
  <dcterms:created xsi:type="dcterms:W3CDTF">2011-04-12T01:05:00Z</dcterms:created>
  <dcterms:modified xsi:type="dcterms:W3CDTF">2012-03-28T22:30:00Z</dcterms:modified>
</cp:coreProperties>
</file>